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1.0 -->
  <w:body>
    <w:p w:rsidR="00942392" w:rsidRPr="008F2106" w14:paraId="4E5495C4" w14:textId="77777777"/>
    <w:p w:rsidR="00942392" w:rsidRPr="008F2106" w14:paraId="1E024DD5" w14:textId="77777777"/>
    <w:p w:rsidR="00942392" w:rsidRPr="008F2106" w14:paraId="59709EBF" w14:textId="77777777"/>
    <w:p w:rsidR="00942392" w:rsidRPr="008F2106" w14:paraId="5086F255" w14:textId="77777777"/>
    <w:p w:rsidR="00942392" w:rsidRPr="008F2106" w14:paraId="640B84C3" w14:textId="77777777"/>
    <w:p w:rsidR="00942392" w:rsidRPr="008F2106" w14:paraId="28F11D89" w14:textId="77777777"/>
    <w:p w:rsidR="00942392" w:rsidRPr="008F2106" w14:paraId="4506CB70" w14:textId="77777777"/>
    <w:p w:rsidR="00942392" w:rsidRPr="008F2106" w:rsidP="00EC4C77" w14:paraId="30B76A25" w14:textId="77777777"/>
    <w:p w:rsidR="00942392" w:rsidRPr="008F2106" w:rsidP="00EC4C77" w14:paraId="076FDAD9" w14:textId="77777777"/>
    <w:tbl>
      <w:tblPr>
        <w:tblStyle w:val="TableGrid"/>
        <w:tblpPr w:leftFromText="180" w:rightFromText="180" w:vertAnchor="page" w:horzAnchor="margin" w:tblpY="333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6"/>
        <w:gridCol w:w="6859"/>
      </w:tblGrid>
      <w:tr w14:paraId="44E8FE59" w14:textId="77777777" w:rsidTr="00771108">
        <w:tblPrEx>
          <w:tblW w:w="5000" w:type="pct"/>
          <w:tblLook w:val="04A0"/>
        </w:tblPrEx>
        <w:trPr>
          <w:trHeight w:val="1016"/>
        </w:trPr>
        <w:tc>
          <w:tcPr>
            <w:tcW w:w="1225" w:type="pct"/>
            <w:vAlign w:val="center"/>
          </w:tcPr>
          <w:p w:rsidR="00B26A0D" w:rsidRPr="008F2106" w:rsidP="00EC4C77" w14:paraId="692B5C4B" w14:textId="77777777">
            <w:pPr>
              <w:rPr>
                <w:noProof/>
              </w:rPr>
            </w:pPr>
            <w:bookmarkStart w:id="0" w:name="_Toc191302553"/>
            <w:r w:rsidRPr="008F2106">
              <w:rPr>
                <w:noProof/>
              </w:rPr>
              <w:drawing>
                <wp:inline distT="0" distB="0" distL="0" distR="0">
                  <wp:extent cx="819150" cy="485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t="-1" r="86571" b="-8050"/>
                          <a:stretch>
                            <a:fillRect/>
                          </a:stretch>
                        </pic:blipFill>
                        <pic:spPr bwMode="auto">
                          <a:xfrm>
                            <a:off x="0" y="0"/>
                            <a:ext cx="819915" cy="48622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bookmarkEnd w:id="0"/>
          </w:p>
        </w:tc>
        <w:tc>
          <w:tcPr>
            <w:tcW w:w="3775" w:type="pct"/>
          </w:tcPr>
          <w:p w:rsidR="00B26A0D" w:rsidRPr="008F2106" w:rsidP="00EC4C77" w14:paraId="3F80A28E" w14:textId="3CF1FB44">
            <w:pPr>
              <w:rPr>
                <w:rFonts w:cstheme="minorHAnsi"/>
                <w:noProof/>
                <w:color w:val="0032A3"/>
                <w:sz w:val="72"/>
                <w:szCs w:val="72"/>
              </w:rPr>
            </w:pPr>
            <w:r>
              <w:rPr>
                <w:rFonts w:cstheme="minorHAnsi"/>
                <w:noProof/>
                <w:color w:val="0070C0"/>
                <w:sz w:val="72"/>
                <w:szCs w:val="72"/>
              </w:rPr>
              <w:fldChar w:fldCharType="begin"/>
            </w:r>
            <w:r>
              <w:rPr>
                <w:rFonts w:cstheme="minorHAnsi"/>
                <w:noProof/>
                <w:color w:val="0070C0"/>
                <w:sz w:val="72"/>
                <w:szCs w:val="72"/>
              </w:rPr>
              <w:instrText xml:space="preserve"> DOCPROPERTY  "Document name"  \* MERGEFORMAT </w:instrText>
            </w:r>
            <w:r>
              <w:rPr>
                <w:rFonts w:cstheme="minorHAnsi"/>
                <w:noProof/>
                <w:color w:val="0070C0"/>
                <w:sz w:val="72"/>
                <w:szCs w:val="72"/>
              </w:rPr>
              <w:fldChar w:fldCharType="separate"/>
            </w:r>
            <w:r w:rsidRPr="0078008F">
              <w:rPr>
                <w:rFonts w:cstheme="minorHAnsi"/>
                <w:noProof/>
                <w:color w:val="0070C0"/>
                <w:sz w:val="72"/>
                <w:szCs w:val="72"/>
              </w:rPr>
              <w:t>External Process Validation and Sampling guideline</w:t>
            </w:r>
            <w:r>
              <w:rPr>
                <w:rFonts w:cstheme="minorHAnsi"/>
                <w:noProof/>
                <w:color w:val="0070C0"/>
                <w:sz w:val="72"/>
                <w:szCs w:val="72"/>
              </w:rPr>
              <w:fldChar w:fldCharType="end"/>
            </w:r>
          </w:p>
        </w:tc>
      </w:tr>
      <w:tr w14:paraId="0A9E84A4" w14:textId="77777777" w:rsidTr="00771108">
        <w:tblPrEx>
          <w:tblW w:w="5000" w:type="pct"/>
          <w:tblLook w:val="04A0"/>
        </w:tblPrEx>
        <w:trPr>
          <w:trHeight w:val="206"/>
        </w:trPr>
        <w:tc>
          <w:tcPr>
            <w:tcW w:w="1225" w:type="pct"/>
          </w:tcPr>
          <w:p w:rsidR="00B26A0D" w:rsidRPr="008F2106" w:rsidP="00EC4C77" w14:paraId="3972713A" w14:textId="77777777">
            <w:pPr>
              <w:rPr>
                <w:rFonts w:cstheme="minorHAnsi"/>
                <w:noProof/>
                <w:sz w:val="44"/>
                <w:szCs w:val="44"/>
                <w:highlight w:val="yellow"/>
              </w:rPr>
            </w:pPr>
          </w:p>
        </w:tc>
        <w:tc>
          <w:tcPr>
            <w:tcW w:w="3775" w:type="pct"/>
          </w:tcPr>
          <w:p w:rsidR="00C774FA" w:rsidRPr="008F2106" w:rsidP="00EC4C77" w14:paraId="766E9030" w14:textId="77777777">
            <w:pPr>
              <w:rPr>
                <w:rFonts w:cstheme="minorHAnsi"/>
                <w:noProof/>
                <w:sz w:val="44"/>
                <w:szCs w:val="44"/>
                <w:highlight w:val="yellow"/>
              </w:rPr>
            </w:pPr>
          </w:p>
        </w:tc>
      </w:tr>
    </w:tbl>
    <w:p w:rsidR="00C11856" w:rsidRPr="008F2106" w:rsidP="00EC4C77" w14:paraId="1F09B45E" w14:textId="77777777"/>
    <w:p w:rsidR="00C11856" w:rsidRPr="008F2106" w:rsidP="00A61F37" w14:paraId="4404101B" w14:textId="77777777">
      <w:pPr>
        <w:jc w:val="center"/>
      </w:pPr>
    </w:p>
    <w:p w:rsidR="00C11856" w:rsidRPr="008F2106" w:rsidP="00EC4C77" w14:paraId="4822402B" w14:textId="77777777"/>
    <w:p w:rsidR="00C11856" w:rsidRPr="008F2106" w:rsidP="00EC4C77" w14:paraId="7A168328" w14:textId="77777777"/>
    <w:p w:rsidR="00C11856" w:rsidRPr="008F2106" w:rsidP="00EC4C77" w14:paraId="7A215F4D" w14:textId="77777777"/>
    <w:p w:rsidR="00C11856" w:rsidRPr="008F2106" w:rsidP="00EC4C77" w14:paraId="7C46D1C1" w14:textId="77777777"/>
    <w:p w:rsidR="00C11856" w:rsidRPr="008F2106" w:rsidP="00EC4C77" w14:paraId="7C45D58D" w14:textId="77777777"/>
    <w:p w:rsidR="00C11856" w:rsidRPr="008F2106" w:rsidP="00EC4C77" w14:paraId="11539A62" w14:textId="77777777"/>
    <w:p w:rsidR="00C11856" w:rsidRPr="008F2106" w:rsidP="00EC4C77" w14:paraId="3E864C60" w14:textId="77777777"/>
    <w:p w:rsidR="00C11856" w:rsidRPr="008F2106" w:rsidP="00EC4C77" w14:paraId="72A1FDB5" w14:textId="77777777"/>
    <w:p w:rsidR="00C11856" w:rsidRPr="008F2106" w:rsidP="00EC4C77" w14:paraId="4788A5A6" w14:textId="77777777"/>
    <w:p w:rsidR="00C11856" w:rsidRPr="008F2106" w:rsidP="00EC4C77" w14:paraId="36753386" w14:textId="77777777"/>
    <w:p w:rsidR="00C11856" w:rsidRPr="008F2106" w:rsidP="00EC4C77" w14:paraId="2BD2C6A0" w14:textId="77777777"/>
    <w:p w:rsidR="00C11856" w:rsidRPr="008F2106" w:rsidP="00EC4C77" w14:paraId="293D4432" w14:textId="77777777"/>
    <w:p w:rsidR="00C11856" w:rsidRPr="008F2106" w:rsidP="00EC4C77" w14:paraId="4B0C5F5C" w14:textId="77777777"/>
    <w:p w:rsidR="00C11856" w:rsidRPr="008F2106" w:rsidP="00EC4C77" w14:paraId="57AA4BB1" w14:textId="77777777"/>
    <w:p w:rsidR="00C11856" w:rsidRPr="008F2106" w:rsidP="00EC4C77" w14:paraId="55EA4046" w14:textId="77777777"/>
    <w:p w:rsidR="00C11856" w:rsidRPr="008F2106" w:rsidP="00EC4C77" w14:paraId="0EA82F40" w14:textId="77777777"/>
    <w:p w:rsidR="00C11856" w:rsidRPr="008F2106" w:rsidP="00EC4C77" w14:paraId="022535E8" w14:textId="77777777"/>
    <w:p w:rsidR="00C11856" w:rsidRPr="008F2106" w:rsidP="00EC4C77" w14:paraId="38476937" w14:textId="77777777"/>
    <w:p w:rsidR="00C11856" w:rsidRPr="008F2106" w:rsidP="00EC4C77" w14:paraId="4F9A3B35" w14:textId="77777777"/>
    <w:p w:rsidR="00C11856" w:rsidRPr="008F2106" w:rsidP="00EC4C77" w14:paraId="69FA414E" w14:textId="77777777"/>
    <w:p w:rsidR="00C11856" w:rsidRPr="008F2106" w:rsidP="00EC4C77" w14:paraId="0E5B365E" w14:textId="77777777"/>
    <w:p w:rsidR="00C11856" w:rsidRPr="008F2106" w:rsidP="00EC4C77" w14:paraId="54E36EC7" w14:textId="77777777"/>
    <w:p w:rsidR="00C11856" w:rsidRPr="008F2106" w:rsidP="00EC4C77" w14:paraId="71C4AE4B" w14:textId="77777777"/>
    <w:p w:rsidR="00C11856" w:rsidRPr="008F2106" w:rsidP="00EC4C77" w14:paraId="65869867" w14:textId="77777777"/>
    <w:p w:rsidR="00C11856" w:rsidRPr="008F2106" w:rsidP="00EC4C77" w14:paraId="265A58A8" w14:textId="7CD59B2F">
      <w:pPr>
        <w:rPr>
          <w:bCs/>
          <w:color w:val="0070C0"/>
          <w:sz w:val="28"/>
        </w:rPr>
      </w:pPr>
      <w:r w:rsidRPr="008F2106">
        <w:rPr>
          <w:bCs/>
          <w:color w:val="0070C0"/>
          <w:sz w:val="28"/>
        </w:rPr>
        <w:tab/>
      </w:r>
    </w:p>
    <w:p w:rsidR="001740B4" w:rsidRPr="008F2106" w:rsidP="00EC4C77" w14:paraId="4BBAC44C" w14:textId="17137853">
      <w:pPr>
        <w:rPr>
          <w:rFonts w:ascii="Calibri" w:hAnsi="Calibri" w:cs="Calibri"/>
          <w:szCs w:val="22"/>
        </w:rPr>
      </w:pPr>
      <w:r w:rsidRPr="008F2106">
        <w:br w:type="page"/>
      </w:r>
    </w:p>
    <w:sdt>
      <w:sdtPr>
        <w:rPr>
          <w:rFonts w:eastAsia="Times New Roman" w:asciiTheme="minorHAnsi" w:hAnsiTheme="minorHAnsi" w:cs="Times New Roman"/>
          <w:bCs w:val="0"/>
          <w:color w:val="auto"/>
          <w:sz w:val="22"/>
          <w:szCs w:val="20"/>
        </w:rPr>
        <w:id w:val="-135640736"/>
        <w:docPartObj>
          <w:docPartGallery w:val="Table of Contents"/>
          <w:docPartUnique/>
        </w:docPartObj>
      </w:sdtPr>
      <w:sdtEndPr>
        <w:rPr>
          <w:b/>
          <w:noProof/>
        </w:rPr>
      </w:sdtEndPr>
      <w:sdtContent>
        <w:p w:rsidR="0042335A" w:rsidP="00A61F37" w14:paraId="57CFAED2" w14:textId="6CFE89B6">
          <w:pPr>
            <w:pStyle w:val="TOCHeading"/>
          </w:pPr>
          <w:r>
            <w:t>Contents</w:t>
          </w:r>
        </w:p>
        <w:p>
          <w:pPr>
            <w:pStyle w:val="TOC1"/>
            <w:tabs>
              <w:tab w:val="left" w:pos="440"/>
              <w:tab w:val="right" w:leader="dot" w:pos="9075"/>
            </w:tabs>
            <w:rPr>
              <w:rFonts w:asciiTheme="minorHAnsi" w:hAnsiTheme="minorHAnsi"/>
              <w:noProof/>
              <w:sz w:val="22"/>
            </w:rPr>
          </w:pPr>
          <w:r>
            <w:fldChar w:fldCharType="begin"/>
          </w:r>
          <w:r>
            <w:instrText xml:space="preserve"> TOC \o "1-2" \h \z \u </w:instrText>
          </w:r>
          <w:r>
            <w:fldChar w:fldCharType="separate"/>
          </w:r>
          <w:hyperlink w:anchor="_Toc256000000" w:history="1">
            <w:r>
              <w:rPr>
                <w:rStyle w:val="Hyperlink"/>
              </w:rPr>
              <w:t>1.</w:t>
            </w:r>
            <w:r>
              <w:rPr>
                <w:rFonts w:asciiTheme="minorHAnsi" w:hAnsiTheme="minorHAnsi"/>
                <w:noProof/>
                <w:sz w:val="22"/>
              </w:rPr>
              <w:tab/>
            </w:r>
            <w:r w:rsidRPr="00EC4C77">
              <w:rPr>
                <w:rStyle w:val="Hyperlink"/>
              </w:rPr>
              <w:t>Purpose</w:t>
            </w:r>
            <w:r>
              <w:tab/>
            </w:r>
            <w:r>
              <w:fldChar w:fldCharType="begin"/>
            </w:r>
            <w:r>
              <w:instrText xml:space="preserve"> PAGEREF _Toc256000000 \h </w:instrText>
            </w:r>
            <w:r>
              <w:fldChar w:fldCharType="separate"/>
            </w:r>
            <w:r>
              <w:t>4</w:t>
            </w:r>
            <w:r>
              <w:fldChar w:fldCharType="end"/>
            </w:r>
          </w:hyperlink>
        </w:p>
        <w:p>
          <w:pPr>
            <w:pStyle w:val="TOC1"/>
            <w:tabs>
              <w:tab w:val="left" w:pos="440"/>
              <w:tab w:val="right" w:leader="dot" w:pos="9075"/>
            </w:tabs>
            <w:rPr>
              <w:rFonts w:asciiTheme="minorHAnsi" w:hAnsiTheme="minorHAnsi"/>
              <w:noProof/>
              <w:sz w:val="22"/>
            </w:rPr>
          </w:pPr>
          <w:hyperlink w:anchor="_Toc256000001" w:history="1">
            <w:r>
              <w:rPr>
                <w:rStyle w:val="Hyperlink"/>
              </w:rPr>
              <w:t>2.</w:t>
            </w:r>
            <w:r>
              <w:rPr>
                <w:rFonts w:asciiTheme="minorHAnsi" w:hAnsiTheme="minorHAnsi"/>
                <w:noProof/>
                <w:sz w:val="22"/>
              </w:rPr>
              <w:tab/>
            </w:r>
            <w:r w:rsidRPr="008F2106">
              <w:rPr>
                <w:rStyle w:val="Hyperlink"/>
              </w:rPr>
              <w:t>Scope</w:t>
            </w:r>
            <w:r>
              <w:tab/>
            </w:r>
            <w:r>
              <w:fldChar w:fldCharType="begin"/>
            </w:r>
            <w:r>
              <w:instrText xml:space="preserve"> PAGEREF _Toc256000001 \h </w:instrText>
            </w:r>
            <w:r>
              <w:fldChar w:fldCharType="separate"/>
            </w:r>
            <w:r>
              <w:t>4</w:t>
            </w:r>
            <w:r>
              <w:fldChar w:fldCharType="end"/>
            </w:r>
          </w:hyperlink>
        </w:p>
        <w:p>
          <w:pPr>
            <w:pStyle w:val="TOC1"/>
            <w:tabs>
              <w:tab w:val="left" w:pos="440"/>
              <w:tab w:val="right" w:leader="dot" w:pos="9075"/>
            </w:tabs>
            <w:rPr>
              <w:rFonts w:asciiTheme="minorHAnsi" w:hAnsiTheme="minorHAnsi"/>
              <w:noProof/>
              <w:sz w:val="22"/>
            </w:rPr>
          </w:pPr>
          <w:hyperlink w:anchor="_Toc256000002" w:history="1">
            <w:r>
              <w:rPr>
                <w:rStyle w:val="Hyperlink"/>
              </w:rPr>
              <w:t>3.</w:t>
            </w:r>
            <w:r>
              <w:rPr>
                <w:rFonts w:asciiTheme="minorHAnsi" w:hAnsiTheme="minorHAnsi"/>
                <w:noProof/>
                <w:sz w:val="22"/>
              </w:rPr>
              <w:tab/>
            </w:r>
            <w:r w:rsidRPr="008F2106">
              <w:rPr>
                <w:rStyle w:val="Hyperlink"/>
              </w:rPr>
              <w:t>Process Validation Overview</w:t>
            </w:r>
            <w:r>
              <w:tab/>
            </w:r>
            <w:r>
              <w:fldChar w:fldCharType="begin"/>
            </w:r>
            <w:r>
              <w:instrText xml:space="preserve"> PAGEREF _Toc256000002 \h </w:instrText>
            </w:r>
            <w:r>
              <w:fldChar w:fldCharType="separate"/>
            </w:r>
            <w:r>
              <w:t>4</w:t>
            </w:r>
            <w:r>
              <w:fldChar w:fldCharType="end"/>
            </w:r>
          </w:hyperlink>
        </w:p>
        <w:p>
          <w:pPr>
            <w:pStyle w:val="TOC2"/>
            <w:tabs>
              <w:tab w:val="left" w:pos="880"/>
              <w:tab w:val="right" w:leader="dot" w:pos="9075"/>
            </w:tabs>
            <w:rPr>
              <w:rFonts w:asciiTheme="minorHAnsi" w:hAnsiTheme="minorHAnsi"/>
              <w:noProof/>
              <w:sz w:val="22"/>
            </w:rPr>
          </w:pPr>
          <w:hyperlink w:anchor="_Toc256000003" w:history="1">
            <w:r>
              <w:rPr>
                <w:rStyle w:val="Hyperlink"/>
              </w:rPr>
              <w:t>3.1</w:t>
            </w:r>
            <w:r>
              <w:rPr>
                <w:rFonts w:asciiTheme="minorHAnsi" w:hAnsiTheme="minorHAnsi"/>
                <w:noProof/>
                <w:sz w:val="22"/>
              </w:rPr>
              <w:tab/>
            </w:r>
            <w:r>
              <w:rPr>
                <w:rStyle w:val="Hyperlink"/>
              </w:rPr>
              <w:t>Process Validation Elements</w:t>
            </w:r>
            <w:r>
              <w:tab/>
            </w:r>
            <w:r>
              <w:fldChar w:fldCharType="begin"/>
            </w:r>
            <w:r>
              <w:instrText xml:space="preserve"> PAGEREF _Toc256000003 \h </w:instrText>
            </w:r>
            <w:r>
              <w:fldChar w:fldCharType="separate"/>
            </w:r>
            <w:r>
              <w:t>4</w:t>
            </w:r>
            <w:r>
              <w:fldChar w:fldCharType="end"/>
            </w:r>
          </w:hyperlink>
        </w:p>
        <w:p>
          <w:pPr>
            <w:pStyle w:val="TOC2"/>
            <w:tabs>
              <w:tab w:val="left" w:pos="880"/>
              <w:tab w:val="right" w:leader="dot" w:pos="9075"/>
            </w:tabs>
            <w:rPr>
              <w:rFonts w:asciiTheme="minorHAnsi" w:hAnsiTheme="minorHAnsi"/>
              <w:noProof/>
              <w:sz w:val="22"/>
            </w:rPr>
          </w:pPr>
          <w:hyperlink w:anchor="_Toc256000004" w:history="1">
            <w:r>
              <w:rPr>
                <w:rStyle w:val="Hyperlink"/>
              </w:rPr>
              <w:t>3.2</w:t>
            </w:r>
            <w:r>
              <w:rPr>
                <w:rFonts w:asciiTheme="minorHAnsi" w:hAnsiTheme="minorHAnsi"/>
                <w:noProof/>
                <w:sz w:val="22"/>
              </w:rPr>
              <w:tab/>
            </w:r>
            <w:r w:rsidRPr="00716BA5">
              <w:rPr>
                <w:rStyle w:val="Hyperlink"/>
              </w:rPr>
              <w:t>Critical Quality Attributes</w:t>
            </w:r>
            <w:r>
              <w:tab/>
            </w:r>
            <w:r>
              <w:fldChar w:fldCharType="begin"/>
            </w:r>
            <w:r>
              <w:instrText xml:space="preserve"> PAGEREF _Toc256000004 \h </w:instrText>
            </w:r>
            <w:r>
              <w:fldChar w:fldCharType="separate"/>
            </w:r>
            <w:r>
              <w:t>6</w:t>
            </w:r>
            <w:r>
              <w:fldChar w:fldCharType="end"/>
            </w:r>
          </w:hyperlink>
        </w:p>
        <w:p>
          <w:pPr>
            <w:pStyle w:val="TOC2"/>
            <w:tabs>
              <w:tab w:val="left" w:pos="880"/>
              <w:tab w:val="right" w:leader="dot" w:pos="9075"/>
            </w:tabs>
            <w:rPr>
              <w:rFonts w:asciiTheme="minorHAnsi" w:hAnsiTheme="minorHAnsi"/>
              <w:noProof/>
              <w:sz w:val="22"/>
            </w:rPr>
          </w:pPr>
          <w:hyperlink w:anchor="_Toc256000005" w:history="1">
            <w:r>
              <w:rPr>
                <w:rStyle w:val="Hyperlink"/>
              </w:rPr>
              <w:t>3.3</w:t>
            </w:r>
            <w:r>
              <w:rPr>
                <w:rFonts w:asciiTheme="minorHAnsi" w:hAnsiTheme="minorHAnsi"/>
                <w:noProof/>
                <w:sz w:val="22"/>
              </w:rPr>
              <w:tab/>
            </w:r>
            <w:r w:rsidRPr="00FF5E93">
              <w:rPr>
                <w:rStyle w:val="Hyperlink"/>
              </w:rPr>
              <w:t>Verification versus Validation Decision</w:t>
            </w:r>
            <w:r>
              <w:tab/>
            </w:r>
            <w:r>
              <w:fldChar w:fldCharType="begin"/>
            </w:r>
            <w:r>
              <w:instrText xml:space="preserve"> PAGEREF _Toc256000005 \h </w:instrText>
            </w:r>
            <w:r>
              <w:fldChar w:fldCharType="separate"/>
            </w:r>
            <w:r>
              <w:t>6</w:t>
            </w:r>
            <w:r>
              <w:fldChar w:fldCharType="end"/>
            </w:r>
          </w:hyperlink>
        </w:p>
        <w:p>
          <w:pPr>
            <w:pStyle w:val="TOC2"/>
            <w:tabs>
              <w:tab w:val="left" w:pos="880"/>
              <w:tab w:val="right" w:leader="dot" w:pos="9075"/>
            </w:tabs>
            <w:rPr>
              <w:rFonts w:asciiTheme="minorHAnsi" w:hAnsiTheme="minorHAnsi"/>
              <w:noProof/>
              <w:sz w:val="22"/>
            </w:rPr>
          </w:pPr>
          <w:hyperlink w:anchor="_Toc256000006" w:history="1">
            <w:r>
              <w:rPr>
                <w:rStyle w:val="Hyperlink"/>
              </w:rPr>
              <w:t>3.4</w:t>
            </w:r>
            <w:r>
              <w:rPr>
                <w:rFonts w:asciiTheme="minorHAnsi" w:hAnsiTheme="minorHAnsi"/>
                <w:noProof/>
                <w:sz w:val="22"/>
              </w:rPr>
              <w:tab/>
            </w:r>
            <w:r w:rsidRPr="00F10BC6">
              <w:rPr>
                <w:rStyle w:val="Hyperlink"/>
              </w:rPr>
              <w:t>Process</w:t>
            </w:r>
            <w:r w:rsidR="00F10BC6">
              <w:rPr>
                <w:rStyle w:val="Hyperlink"/>
              </w:rPr>
              <w:t>es</w:t>
            </w:r>
            <w:r w:rsidRPr="00F10BC6">
              <w:rPr>
                <w:rStyle w:val="Hyperlink"/>
              </w:rPr>
              <w:t xml:space="preserve"> that are expected to be validated</w:t>
            </w:r>
            <w:r>
              <w:tab/>
            </w:r>
            <w:r>
              <w:fldChar w:fldCharType="begin"/>
            </w:r>
            <w:r>
              <w:instrText xml:space="preserve"> PAGEREF _Toc256000006 \h </w:instrText>
            </w:r>
            <w:r>
              <w:fldChar w:fldCharType="separate"/>
            </w:r>
            <w:r>
              <w:t>7</w:t>
            </w:r>
            <w:r>
              <w:fldChar w:fldCharType="end"/>
            </w:r>
          </w:hyperlink>
        </w:p>
        <w:p>
          <w:pPr>
            <w:pStyle w:val="TOC2"/>
            <w:tabs>
              <w:tab w:val="left" w:pos="880"/>
              <w:tab w:val="right" w:leader="dot" w:pos="9075"/>
            </w:tabs>
            <w:rPr>
              <w:rFonts w:asciiTheme="minorHAnsi" w:hAnsiTheme="minorHAnsi"/>
              <w:noProof/>
              <w:sz w:val="22"/>
            </w:rPr>
          </w:pPr>
          <w:hyperlink w:anchor="_Toc256000007" w:history="1">
            <w:r>
              <w:rPr>
                <w:rStyle w:val="Hyperlink"/>
              </w:rPr>
              <w:t>3.5</w:t>
            </w:r>
            <w:r>
              <w:rPr>
                <w:rFonts w:asciiTheme="minorHAnsi" w:hAnsiTheme="minorHAnsi"/>
                <w:noProof/>
                <w:sz w:val="22"/>
              </w:rPr>
              <w:tab/>
            </w:r>
            <w:r w:rsidRPr="008F2106">
              <w:rPr>
                <w:rStyle w:val="Hyperlink"/>
              </w:rPr>
              <w:t>Full Verification during Commercial Manufacturing</w:t>
            </w:r>
            <w:r>
              <w:tab/>
            </w:r>
            <w:r>
              <w:fldChar w:fldCharType="begin"/>
            </w:r>
            <w:r>
              <w:instrText xml:space="preserve"> PAGEREF _Toc256000007 \h </w:instrText>
            </w:r>
            <w:r>
              <w:fldChar w:fldCharType="separate"/>
            </w:r>
            <w:r>
              <w:t>8</w:t>
            </w:r>
            <w:r>
              <w:fldChar w:fldCharType="end"/>
            </w:r>
          </w:hyperlink>
        </w:p>
        <w:p>
          <w:pPr>
            <w:pStyle w:val="TOC2"/>
            <w:tabs>
              <w:tab w:val="left" w:pos="880"/>
              <w:tab w:val="right" w:leader="dot" w:pos="9075"/>
            </w:tabs>
            <w:rPr>
              <w:rFonts w:asciiTheme="minorHAnsi" w:hAnsiTheme="minorHAnsi"/>
              <w:noProof/>
              <w:sz w:val="22"/>
            </w:rPr>
          </w:pPr>
          <w:hyperlink w:anchor="_Toc256000008" w:history="1">
            <w:r>
              <w:rPr>
                <w:rStyle w:val="Hyperlink"/>
              </w:rPr>
              <w:t>3.6</w:t>
            </w:r>
            <w:r>
              <w:rPr>
                <w:rFonts w:asciiTheme="minorHAnsi" w:hAnsiTheme="minorHAnsi"/>
                <w:noProof/>
                <w:sz w:val="22"/>
              </w:rPr>
              <w:tab/>
            </w:r>
            <w:r w:rsidRPr="008F2106">
              <w:rPr>
                <w:rStyle w:val="Hyperlink"/>
              </w:rPr>
              <w:t xml:space="preserve">Process </w:t>
            </w:r>
            <w:r w:rsidRPr="008F2106" w:rsidR="00C078E0">
              <w:rPr>
                <w:rStyle w:val="Hyperlink"/>
              </w:rPr>
              <w:t>Validation Expectations</w:t>
            </w:r>
            <w:r>
              <w:tab/>
            </w:r>
            <w:r>
              <w:fldChar w:fldCharType="begin"/>
            </w:r>
            <w:r>
              <w:instrText xml:space="preserve"> PAGEREF _Toc256000008 \h </w:instrText>
            </w:r>
            <w:r>
              <w:fldChar w:fldCharType="separate"/>
            </w:r>
            <w:r>
              <w:t>8</w:t>
            </w:r>
            <w:r>
              <w:fldChar w:fldCharType="end"/>
            </w:r>
          </w:hyperlink>
        </w:p>
        <w:p>
          <w:pPr>
            <w:pStyle w:val="TOC2"/>
            <w:tabs>
              <w:tab w:val="left" w:pos="880"/>
              <w:tab w:val="right" w:leader="dot" w:pos="9075"/>
            </w:tabs>
            <w:rPr>
              <w:rFonts w:asciiTheme="minorHAnsi" w:hAnsiTheme="minorHAnsi"/>
              <w:noProof/>
              <w:sz w:val="22"/>
            </w:rPr>
          </w:pPr>
          <w:hyperlink w:anchor="_Toc256000009" w:history="1">
            <w:r>
              <w:rPr>
                <w:rStyle w:val="Hyperlink"/>
              </w:rPr>
              <w:t>3.7</w:t>
            </w:r>
            <w:r>
              <w:rPr>
                <w:rFonts w:asciiTheme="minorHAnsi" w:hAnsiTheme="minorHAnsi"/>
                <w:noProof/>
                <w:sz w:val="22"/>
              </w:rPr>
              <w:tab/>
            </w:r>
            <w:r>
              <w:rPr>
                <w:rStyle w:val="Hyperlink"/>
              </w:rPr>
              <w:t>Achieving the planned result</w:t>
            </w:r>
            <w:r>
              <w:tab/>
            </w:r>
            <w:r>
              <w:fldChar w:fldCharType="begin"/>
            </w:r>
            <w:r>
              <w:instrText xml:space="preserve"> PAGEREF _Toc256000009 \h </w:instrText>
            </w:r>
            <w:r>
              <w:fldChar w:fldCharType="separate"/>
            </w:r>
            <w:r>
              <w:t>9</w:t>
            </w:r>
            <w:r>
              <w:fldChar w:fldCharType="end"/>
            </w:r>
          </w:hyperlink>
        </w:p>
        <w:p>
          <w:pPr>
            <w:pStyle w:val="TOC2"/>
            <w:tabs>
              <w:tab w:val="left" w:pos="880"/>
              <w:tab w:val="right" w:leader="dot" w:pos="9075"/>
            </w:tabs>
            <w:rPr>
              <w:rFonts w:asciiTheme="minorHAnsi" w:hAnsiTheme="minorHAnsi"/>
              <w:noProof/>
              <w:sz w:val="22"/>
            </w:rPr>
          </w:pPr>
          <w:hyperlink w:anchor="_Toc256000010" w:history="1">
            <w:r>
              <w:rPr>
                <w:rStyle w:val="Hyperlink"/>
              </w:rPr>
              <w:t>3.8</w:t>
            </w:r>
            <w:r>
              <w:rPr>
                <w:rFonts w:asciiTheme="minorHAnsi" w:hAnsiTheme="minorHAnsi"/>
                <w:noProof/>
                <w:sz w:val="22"/>
              </w:rPr>
              <w:tab/>
            </w:r>
            <w:r w:rsidRPr="008F2106">
              <w:rPr>
                <w:rStyle w:val="Hyperlink"/>
              </w:rPr>
              <w:t>Process Validation Types</w:t>
            </w:r>
            <w:r>
              <w:tab/>
            </w:r>
            <w:r>
              <w:fldChar w:fldCharType="begin"/>
            </w:r>
            <w:r>
              <w:instrText xml:space="preserve"> PAGEREF _Toc256000010 \h </w:instrText>
            </w:r>
            <w:r>
              <w:fldChar w:fldCharType="separate"/>
            </w:r>
            <w:r>
              <w:t>9</w:t>
            </w:r>
            <w:r>
              <w:fldChar w:fldCharType="end"/>
            </w:r>
          </w:hyperlink>
        </w:p>
        <w:p>
          <w:pPr>
            <w:pStyle w:val="TOC2"/>
            <w:tabs>
              <w:tab w:val="left" w:pos="880"/>
              <w:tab w:val="right" w:leader="dot" w:pos="9075"/>
            </w:tabs>
            <w:rPr>
              <w:rFonts w:asciiTheme="minorHAnsi" w:hAnsiTheme="minorHAnsi"/>
              <w:noProof/>
              <w:sz w:val="22"/>
            </w:rPr>
          </w:pPr>
          <w:hyperlink w:anchor="_Toc256000011" w:history="1">
            <w:r>
              <w:rPr>
                <w:rStyle w:val="Hyperlink"/>
              </w:rPr>
              <w:t>3.9</w:t>
            </w:r>
            <w:r>
              <w:rPr>
                <w:rFonts w:asciiTheme="minorHAnsi" w:hAnsiTheme="minorHAnsi"/>
                <w:noProof/>
                <w:sz w:val="22"/>
              </w:rPr>
              <w:tab/>
            </w:r>
            <w:r w:rsidRPr="00D47F2A">
              <w:rPr>
                <w:rStyle w:val="Hyperlink"/>
              </w:rPr>
              <w:t>Personnel Qualification</w:t>
            </w:r>
            <w:r>
              <w:tab/>
            </w:r>
            <w:r>
              <w:fldChar w:fldCharType="begin"/>
            </w:r>
            <w:r>
              <w:instrText xml:space="preserve"> PAGEREF _Toc256000011 \h </w:instrText>
            </w:r>
            <w:r>
              <w:fldChar w:fldCharType="separate"/>
            </w:r>
            <w:r>
              <w:t>10</w:t>
            </w:r>
            <w:r>
              <w:fldChar w:fldCharType="end"/>
            </w:r>
          </w:hyperlink>
        </w:p>
        <w:p>
          <w:pPr>
            <w:pStyle w:val="TOC1"/>
            <w:tabs>
              <w:tab w:val="left" w:pos="440"/>
              <w:tab w:val="right" w:leader="dot" w:pos="9075"/>
            </w:tabs>
            <w:rPr>
              <w:rFonts w:asciiTheme="minorHAnsi" w:hAnsiTheme="minorHAnsi"/>
              <w:noProof/>
              <w:sz w:val="22"/>
            </w:rPr>
          </w:pPr>
          <w:hyperlink w:anchor="_Toc256000012" w:history="1">
            <w:r>
              <w:rPr>
                <w:rStyle w:val="Hyperlink"/>
              </w:rPr>
              <w:t>4.</w:t>
            </w:r>
            <w:r>
              <w:rPr>
                <w:rFonts w:asciiTheme="minorHAnsi" w:hAnsiTheme="minorHAnsi"/>
                <w:noProof/>
                <w:sz w:val="22"/>
              </w:rPr>
              <w:tab/>
            </w:r>
            <w:r w:rsidRPr="008F2106" w:rsidR="00464AC9">
              <w:rPr>
                <w:rStyle w:val="Hyperlink"/>
              </w:rPr>
              <w:t>Acronyms and Definitions</w:t>
            </w:r>
            <w:r>
              <w:tab/>
            </w:r>
            <w:r>
              <w:fldChar w:fldCharType="begin"/>
            </w:r>
            <w:r>
              <w:instrText xml:space="preserve"> PAGEREF _Toc256000012 \h </w:instrText>
            </w:r>
            <w:r>
              <w:fldChar w:fldCharType="separate"/>
            </w:r>
            <w:r>
              <w:t>11</w:t>
            </w:r>
            <w:r>
              <w:fldChar w:fldCharType="end"/>
            </w:r>
          </w:hyperlink>
        </w:p>
        <w:p>
          <w:pPr>
            <w:pStyle w:val="TOC1"/>
            <w:tabs>
              <w:tab w:val="left" w:pos="440"/>
              <w:tab w:val="right" w:leader="dot" w:pos="9075"/>
            </w:tabs>
            <w:rPr>
              <w:rFonts w:asciiTheme="minorHAnsi" w:hAnsiTheme="minorHAnsi"/>
              <w:noProof/>
              <w:sz w:val="22"/>
            </w:rPr>
          </w:pPr>
          <w:hyperlink w:anchor="_Toc256000013" w:history="1">
            <w:r>
              <w:rPr>
                <w:rStyle w:val="Hyperlink"/>
              </w:rPr>
              <w:t>5.</w:t>
            </w:r>
            <w:r>
              <w:rPr>
                <w:rFonts w:asciiTheme="minorHAnsi" w:hAnsiTheme="minorHAnsi"/>
                <w:noProof/>
                <w:sz w:val="22"/>
              </w:rPr>
              <w:tab/>
            </w:r>
            <w:r w:rsidRPr="008F2106">
              <w:rPr>
                <w:rStyle w:val="Hyperlink"/>
              </w:rPr>
              <w:t>Process Validation Plan</w:t>
            </w:r>
            <w:r>
              <w:tab/>
            </w:r>
            <w:r>
              <w:fldChar w:fldCharType="begin"/>
            </w:r>
            <w:r>
              <w:instrText xml:space="preserve"> PAGEREF _Toc256000013 \h </w:instrText>
            </w:r>
            <w:r>
              <w:fldChar w:fldCharType="separate"/>
            </w:r>
            <w:r>
              <w:t>15</w:t>
            </w:r>
            <w:r>
              <w:fldChar w:fldCharType="end"/>
            </w:r>
          </w:hyperlink>
        </w:p>
        <w:p>
          <w:pPr>
            <w:pStyle w:val="TOC1"/>
            <w:tabs>
              <w:tab w:val="left" w:pos="440"/>
              <w:tab w:val="right" w:leader="dot" w:pos="9075"/>
            </w:tabs>
            <w:rPr>
              <w:rFonts w:asciiTheme="minorHAnsi" w:hAnsiTheme="minorHAnsi"/>
              <w:noProof/>
              <w:sz w:val="22"/>
            </w:rPr>
          </w:pPr>
          <w:hyperlink w:anchor="_Toc256000014" w:history="1">
            <w:r>
              <w:rPr>
                <w:rStyle w:val="Hyperlink"/>
              </w:rPr>
              <w:t>6.</w:t>
            </w:r>
            <w:r>
              <w:rPr>
                <w:rFonts w:asciiTheme="minorHAnsi" w:hAnsiTheme="minorHAnsi"/>
                <w:noProof/>
                <w:sz w:val="22"/>
              </w:rPr>
              <w:tab/>
            </w:r>
            <w:r w:rsidRPr="008F2106">
              <w:rPr>
                <w:rStyle w:val="Hyperlink"/>
              </w:rPr>
              <w:t>Installation Qualification (IQ)</w:t>
            </w:r>
            <w:r>
              <w:tab/>
            </w:r>
            <w:r>
              <w:fldChar w:fldCharType="begin"/>
            </w:r>
            <w:r>
              <w:instrText xml:space="preserve"> PAGEREF _Toc256000014 \h </w:instrText>
            </w:r>
            <w:r>
              <w:fldChar w:fldCharType="separate"/>
            </w:r>
            <w:r>
              <w:t>16</w:t>
            </w:r>
            <w:r>
              <w:fldChar w:fldCharType="end"/>
            </w:r>
          </w:hyperlink>
        </w:p>
        <w:p>
          <w:pPr>
            <w:pStyle w:val="TOC2"/>
            <w:tabs>
              <w:tab w:val="left" w:pos="880"/>
              <w:tab w:val="right" w:leader="dot" w:pos="9075"/>
            </w:tabs>
            <w:rPr>
              <w:rFonts w:asciiTheme="minorHAnsi" w:hAnsiTheme="minorHAnsi"/>
              <w:noProof/>
              <w:sz w:val="22"/>
            </w:rPr>
          </w:pPr>
          <w:hyperlink w:anchor="_Toc256000015" w:history="1">
            <w:r>
              <w:rPr>
                <w:rStyle w:val="Hyperlink"/>
              </w:rPr>
              <w:t>6.1</w:t>
            </w:r>
            <w:r>
              <w:rPr>
                <w:rFonts w:asciiTheme="minorHAnsi" w:hAnsiTheme="minorHAnsi"/>
                <w:noProof/>
                <w:sz w:val="22"/>
              </w:rPr>
              <w:tab/>
            </w:r>
            <w:r>
              <w:rPr>
                <w:rStyle w:val="Hyperlink"/>
              </w:rPr>
              <w:t>IQ Applicability</w:t>
            </w:r>
            <w:r>
              <w:tab/>
            </w:r>
            <w:r>
              <w:fldChar w:fldCharType="begin"/>
            </w:r>
            <w:r>
              <w:instrText xml:space="preserve"> PAGEREF _Toc256000015 \h </w:instrText>
            </w:r>
            <w:r>
              <w:fldChar w:fldCharType="separate"/>
            </w:r>
            <w:r>
              <w:t>16</w:t>
            </w:r>
            <w:r>
              <w:fldChar w:fldCharType="end"/>
            </w:r>
          </w:hyperlink>
        </w:p>
        <w:p>
          <w:pPr>
            <w:pStyle w:val="TOC2"/>
            <w:tabs>
              <w:tab w:val="left" w:pos="880"/>
              <w:tab w:val="right" w:leader="dot" w:pos="9075"/>
            </w:tabs>
            <w:rPr>
              <w:rFonts w:asciiTheme="minorHAnsi" w:hAnsiTheme="minorHAnsi"/>
              <w:noProof/>
              <w:sz w:val="22"/>
            </w:rPr>
          </w:pPr>
          <w:hyperlink w:anchor="_Toc256000016" w:history="1">
            <w:r>
              <w:rPr>
                <w:rStyle w:val="Hyperlink"/>
              </w:rPr>
              <w:t>6.2</w:t>
            </w:r>
            <w:r>
              <w:rPr>
                <w:rFonts w:asciiTheme="minorHAnsi" w:hAnsiTheme="minorHAnsi"/>
                <w:noProof/>
                <w:sz w:val="22"/>
              </w:rPr>
              <w:tab/>
            </w:r>
            <w:r w:rsidRPr="008F2106">
              <w:rPr>
                <w:rStyle w:val="Hyperlink"/>
              </w:rPr>
              <w:t>IQ Prerequisites</w:t>
            </w:r>
            <w:r>
              <w:tab/>
            </w:r>
            <w:r>
              <w:fldChar w:fldCharType="begin"/>
            </w:r>
            <w:r>
              <w:instrText xml:space="preserve"> PAGEREF _Toc256000016 \h </w:instrText>
            </w:r>
            <w:r>
              <w:fldChar w:fldCharType="separate"/>
            </w:r>
            <w:r>
              <w:t>16</w:t>
            </w:r>
            <w:r>
              <w:fldChar w:fldCharType="end"/>
            </w:r>
          </w:hyperlink>
        </w:p>
        <w:p>
          <w:pPr>
            <w:pStyle w:val="TOC2"/>
            <w:tabs>
              <w:tab w:val="left" w:pos="880"/>
              <w:tab w:val="right" w:leader="dot" w:pos="9075"/>
            </w:tabs>
            <w:rPr>
              <w:rFonts w:asciiTheme="minorHAnsi" w:hAnsiTheme="minorHAnsi"/>
              <w:noProof/>
              <w:sz w:val="22"/>
            </w:rPr>
          </w:pPr>
          <w:hyperlink w:anchor="_Toc256000017" w:history="1">
            <w:r>
              <w:rPr>
                <w:rStyle w:val="Hyperlink"/>
              </w:rPr>
              <w:t>6.3</w:t>
            </w:r>
            <w:r>
              <w:rPr>
                <w:rFonts w:asciiTheme="minorHAnsi" w:hAnsiTheme="minorHAnsi"/>
                <w:noProof/>
                <w:sz w:val="22"/>
              </w:rPr>
              <w:tab/>
            </w:r>
            <w:r w:rsidRPr="008F2106">
              <w:rPr>
                <w:rStyle w:val="Hyperlink"/>
              </w:rPr>
              <w:t>Equipment Requirements</w:t>
            </w:r>
            <w:r>
              <w:tab/>
            </w:r>
            <w:r>
              <w:fldChar w:fldCharType="begin"/>
            </w:r>
            <w:r>
              <w:instrText xml:space="preserve"> PAGEREF _Toc256000017 \h </w:instrText>
            </w:r>
            <w:r>
              <w:fldChar w:fldCharType="separate"/>
            </w:r>
            <w:r>
              <w:t>16</w:t>
            </w:r>
            <w:r>
              <w:fldChar w:fldCharType="end"/>
            </w:r>
          </w:hyperlink>
        </w:p>
        <w:p>
          <w:pPr>
            <w:pStyle w:val="TOC2"/>
            <w:tabs>
              <w:tab w:val="left" w:pos="880"/>
              <w:tab w:val="right" w:leader="dot" w:pos="9075"/>
            </w:tabs>
            <w:rPr>
              <w:rFonts w:asciiTheme="minorHAnsi" w:hAnsiTheme="minorHAnsi"/>
              <w:noProof/>
              <w:sz w:val="22"/>
            </w:rPr>
          </w:pPr>
          <w:hyperlink w:anchor="_Toc256000018" w:history="1">
            <w:r>
              <w:rPr>
                <w:rStyle w:val="Hyperlink"/>
              </w:rPr>
              <w:t>6.4</w:t>
            </w:r>
            <w:r>
              <w:rPr>
                <w:rFonts w:asciiTheme="minorHAnsi" w:hAnsiTheme="minorHAnsi"/>
                <w:noProof/>
                <w:sz w:val="22"/>
              </w:rPr>
              <w:tab/>
            </w:r>
            <w:r w:rsidRPr="008F2106">
              <w:rPr>
                <w:rStyle w:val="Hyperlink"/>
              </w:rPr>
              <w:t>IQ Protocol</w:t>
            </w:r>
            <w:r>
              <w:tab/>
            </w:r>
            <w:r>
              <w:fldChar w:fldCharType="begin"/>
            </w:r>
            <w:r>
              <w:instrText xml:space="preserve"> PAGEREF _Toc256000018 \h </w:instrText>
            </w:r>
            <w:r>
              <w:fldChar w:fldCharType="separate"/>
            </w:r>
            <w:r>
              <w:t>17</w:t>
            </w:r>
            <w:r>
              <w:fldChar w:fldCharType="end"/>
            </w:r>
          </w:hyperlink>
        </w:p>
        <w:p>
          <w:pPr>
            <w:pStyle w:val="TOC1"/>
            <w:tabs>
              <w:tab w:val="left" w:pos="440"/>
              <w:tab w:val="right" w:leader="dot" w:pos="9075"/>
            </w:tabs>
            <w:rPr>
              <w:rFonts w:asciiTheme="minorHAnsi" w:hAnsiTheme="minorHAnsi"/>
              <w:noProof/>
              <w:sz w:val="22"/>
            </w:rPr>
          </w:pPr>
          <w:hyperlink w:anchor="_Toc256000019" w:history="1">
            <w:r>
              <w:rPr>
                <w:rStyle w:val="Hyperlink"/>
              </w:rPr>
              <w:t>7.</w:t>
            </w:r>
            <w:r>
              <w:rPr>
                <w:rFonts w:asciiTheme="minorHAnsi" w:hAnsiTheme="minorHAnsi"/>
                <w:noProof/>
                <w:sz w:val="22"/>
              </w:rPr>
              <w:tab/>
            </w:r>
            <w:r w:rsidRPr="005D6E81">
              <w:rPr>
                <w:rStyle w:val="Hyperlink"/>
              </w:rPr>
              <w:t>Operational Qualification</w:t>
            </w:r>
            <w:r>
              <w:rPr>
                <w:rStyle w:val="Hyperlink"/>
              </w:rPr>
              <w:t xml:space="preserve"> (OQ)</w:t>
            </w:r>
            <w:r>
              <w:tab/>
            </w:r>
            <w:r>
              <w:fldChar w:fldCharType="begin"/>
            </w:r>
            <w:r>
              <w:instrText xml:space="preserve"> PAGEREF _Toc256000019 \h </w:instrText>
            </w:r>
            <w:r>
              <w:fldChar w:fldCharType="separate"/>
            </w:r>
            <w:r>
              <w:t>22</w:t>
            </w:r>
            <w:r>
              <w:fldChar w:fldCharType="end"/>
            </w:r>
          </w:hyperlink>
        </w:p>
        <w:p>
          <w:pPr>
            <w:pStyle w:val="TOC2"/>
            <w:tabs>
              <w:tab w:val="left" w:pos="880"/>
              <w:tab w:val="right" w:leader="dot" w:pos="9075"/>
            </w:tabs>
            <w:rPr>
              <w:rFonts w:asciiTheme="minorHAnsi" w:hAnsiTheme="minorHAnsi"/>
              <w:noProof/>
              <w:sz w:val="22"/>
            </w:rPr>
          </w:pPr>
          <w:hyperlink w:anchor="_Toc256000020" w:history="1">
            <w:r>
              <w:rPr>
                <w:rStyle w:val="Hyperlink"/>
              </w:rPr>
              <w:t>7.1</w:t>
            </w:r>
            <w:r>
              <w:rPr>
                <w:rFonts w:asciiTheme="minorHAnsi" w:hAnsiTheme="minorHAnsi"/>
                <w:noProof/>
                <w:sz w:val="22"/>
              </w:rPr>
              <w:tab/>
            </w:r>
            <w:r>
              <w:rPr>
                <w:rStyle w:val="Hyperlink"/>
              </w:rPr>
              <w:t>Equipment Suitability</w:t>
            </w:r>
            <w:r>
              <w:tab/>
            </w:r>
            <w:r>
              <w:fldChar w:fldCharType="begin"/>
            </w:r>
            <w:r>
              <w:instrText xml:space="preserve"> PAGEREF _Toc256000020 \h </w:instrText>
            </w:r>
            <w:r>
              <w:fldChar w:fldCharType="separate"/>
            </w:r>
            <w:r>
              <w:t>23</w:t>
            </w:r>
            <w:r>
              <w:fldChar w:fldCharType="end"/>
            </w:r>
          </w:hyperlink>
        </w:p>
        <w:p>
          <w:pPr>
            <w:pStyle w:val="TOC2"/>
            <w:tabs>
              <w:tab w:val="left" w:pos="880"/>
              <w:tab w:val="right" w:leader="dot" w:pos="9075"/>
            </w:tabs>
            <w:rPr>
              <w:rFonts w:asciiTheme="minorHAnsi" w:hAnsiTheme="minorHAnsi"/>
              <w:noProof/>
              <w:sz w:val="22"/>
            </w:rPr>
          </w:pPr>
          <w:hyperlink w:anchor="_Toc256000021" w:history="1">
            <w:r>
              <w:rPr>
                <w:rStyle w:val="Hyperlink"/>
              </w:rPr>
              <w:t>7.2</w:t>
            </w:r>
            <w:r>
              <w:rPr>
                <w:rFonts w:asciiTheme="minorHAnsi" w:hAnsiTheme="minorHAnsi"/>
                <w:noProof/>
                <w:sz w:val="22"/>
              </w:rPr>
              <w:tab/>
            </w:r>
            <w:r>
              <w:rPr>
                <w:rStyle w:val="Hyperlink"/>
              </w:rPr>
              <w:t>Number of required OQ runs</w:t>
            </w:r>
            <w:r>
              <w:tab/>
            </w:r>
            <w:r>
              <w:fldChar w:fldCharType="begin"/>
            </w:r>
            <w:r>
              <w:instrText xml:space="preserve"> PAGEREF _Toc256000021 \h </w:instrText>
            </w:r>
            <w:r>
              <w:fldChar w:fldCharType="separate"/>
            </w:r>
            <w:r>
              <w:t>23</w:t>
            </w:r>
            <w:r>
              <w:fldChar w:fldCharType="end"/>
            </w:r>
          </w:hyperlink>
        </w:p>
        <w:p>
          <w:pPr>
            <w:pStyle w:val="TOC2"/>
            <w:tabs>
              <w:tab w:val="left" w:pos="880"/>
              <w:tab w:val="right" w:leader="dot" w:pos="9075"/>
            </w:tabs>
            <w:rPr>
              <w:rFonts w:asciiTheme="minorHAnsi" w:hAnsiTheme="minorHAnsi"/>
              <w:noProof/>
              <w:sz w:val="22"/>
            </w:rPr>
          </w:pPr>
          <w:hyperlink w:anchor="_Toc256000022" w:history="1">
            <w:r>
              <w:rPr>
                <w:rStyle w:val="Hyperlink"/>
              </w:rPr>
              <w:t>7.3</w:t>
            </w:r>
            <w:r>
              <w:rPr>
                <w:rFonts w:asciiTheme="minorHAnsi" w:hAnsiTheme="minorHAnsi"/>
                <w:noProof/>
                <w:sz w:val="22"/>
              </w:rPr>
              <w:tab/>
            </w:r>
            <w:r>
              <w:rPr>
                <w:rStyle w:val="Hyperlink"/>
              </w:rPr>
              <w:t>Number of manufactured samples</w:t>
            </w:r>
            <w:r>
              <w:tab/>
            </w:r>
            <w:r>
              <w:fldChar w:fldCharType="begin"/>
            </w:r>
            <w:r>
              <w:instrText xml:space="preserve"> PAGEREF _Toc256000022 \h </w:instrText>
            </w:r>
            <w:r>
              <w:fldChar w:fldCharType="separate"/>
            </w:r>
            <w:r>
              <w:t>23</w:t>
            </w:r>
            <w:r>
              <w:fldChar w:fldCharType="end"/>
            </w:r>
          </w:hyperlink>
        </w:p>
        <w:p>
          <w:pPr>
            <w:pStyle w:val="TOC2"/>
            <w:tabs>
              <w:tab w:val="left" w:pos="880"/>
              <w:tab w:val="right" w:leader="dot" w:pos="9075"/>
            </w:tabs>
            <w:rPr>
              <w:rFonts w:asciiTheme="minorHAnsi" w:hAnsiTheme="minorHAnsi"/>
              <w:noProof/>
              <w:sz w:val="22"/>
            </w:rPr>
          </w:pPr>
          <w:hyperlink w:anchor="_Toc256000023" w:history="1">
            <w:r>
              <w:rPr>
                <w:rStyle w:val="Hyperlink"/>
              </w:rPr>
              <w:t>7.4</w:t>
            </w:r>
            <w:r>
              <w:rPr>
                <w:rFonts w:asciiTheme="minorHAnsi" w:hAnsiTheme="minorHAnsi"/>
                <w:noProof/>
                <w:sz w:val="22"/>
              </w:rPr>
              <w:tab/>
            </w:r>
            <w:r>
              <w:rPr>
                <w:rStyle w:val="Hyperlink"/>
              </w:rPr>
              <w:t>Process Characterization</w:t>
            </w:r>
            <w:r>
              <w:tab/>
            </w:r>
            <w:r>
              <w:fldChar w:fldCharType="begin"/>
            </w:r>
            <w:r>
              <w:instrText xml:space="preserve"> PAGEREF _Toc256000023 \h </w:instrText>
            </w:r>
            <w:r>
              <w:fldChar w:fldCharType="separate"/>
            </w:r>
            <w:r>
              <w:t>23</w:t>
            </w:r>
            <w:r>
              <w:fldChar w:fldCharType="end"/>
            </w:r>
          </w:hyperlink>
        </w:p>
        <w:p>
          <w:pPr>
            <w:pStyle w:val="TOC2"/>
            <w:tabs>
              <w:tab w:val="left" w:pos="880"/>
              <w:tab w:val="right" w:leader="dot" w:pos="9075"/>
            </w:tabs>
            <w:rPr>
              <w:rFonts w:asciiTheme="minorHAnsi" w:hAnsiTheme="minorHAnsi"/>
              <w:noProof/>
              <w:sz w:val="22"/>
            </w:rPr>
          </w:pPr>
          <w:hyperlink w:anchor="_Toc256000024" w:history="1">
            <w:r>
              <w:rPr>
                <w:rStyle w:val="Hyperlink"/>
              </w:rPr>
              <w:t>7.5</w:t>
            </w:r>
            <w:r>
              <w:rPr>
                <w:rFonts w:asciiTheme="minorHAnsi" w:hAnsiTheme="minorHAnsi"/>
                <w:noProof/>
                <w:sz w:val="22"/>
              </w:rPr>
              <w:tab/>
            </w:r>
            <w:r>
              <w:rPr>
                <w:rStyle w:val="Hyperlink"/>
              </w:rPr>
              <w:t>OQ Prerequisites</w:t>
            </w:r>
            <w:r>
              <w:tab/>
            </w:r>
            <w:r>
              <w:fldChar w:fldCharType="begin"/>
            </w:r>
            <w:r>
              <w:instrText xml:space="preserve"> PAGEREF _Toc256000024 \h </w:instrText>
            </w:r>
            <w:r>
              <w:fldChar w:fldCharType="separate"/>
            </w:r>
            <w:r>
              <w:t>26</w:t>
            </w:r>
            <w:r>
              <w:fldChar w:fldCharType="end"/>
            </w:r>
          </w:hyperlink>
        </w:p>
        <w:p>
          <w:pPr>
            <w:pStyle w:val="TOC2"/>
            <w:tabs>
              <w:tab w:val="left" w:pos="880"/>
              <w:tab w:val="right" w:leader="dot" w:pos="9075"/>
            </w:tabs>
            <w:rPr>
              <w:rFonts w:asciiTheme="minorHAnsi" w:hAnsiTheme="minorHAnsi"/>
              <w:noProof/>
              <w:sz w:val="22"/>
            </w:rPr>
          </w:pPr>
          <w:hyperlink w:anchor="_Toc256000025" w:history="1">
            <w:r>
              <w:rPr>
                <w:rStyle w:val="Hyperlink"/>
              </w:rPr>
              <w:t>7.6</w:t>
            </w:r>
            <w:r>
              <w:rPr>
                <w:rFonts w:asciiTheme="minorHAnsi" w:hAnsiTheme="minorHAnsi"/>
                <w:noProof/>
                <w:sz w:val="22"/>
              </w:rPr>
              <w:tab/>
            </w:r>
            <w:r w:rsidRPr="00092369">
              <w:rPr>
                <w:rStyle w:val="Hyperlink"/>
              </w:rPr>
              <w:t>Worst-Case Definition</w:t>
            </w:r>
            <w:r>
              <w:tab/>
            </w:r>
            <w:r>
              <w:fldChar w:fldCharType="begin"/>
            </w:r>
            <w:r>
              <w:instrText xml:space="preserve"> PAGEREF _Toc256000025 \h </w:instrText>
            </w:r>
            <w:r>
              <w:fldChar w:fldCharType="separate"/>
            </w:r>
            <w:r>
              <w:t>27</w:t>
            </w:r>
            <w:r>
              <w:fldChar w:fldCharType="end"/>
            </w:r>
          </w:hyperlink>
        </w:p>
        <w:p>
          <w:pPr>
            <w:pStyle w:val="TOC2"/>
            <w:tabs>
              <w:tab w:val="left" w:pos="880"/>
              <w:tab w:val="right" w:leader="dot" w:pos="9075"/>
            </w:tabs>
            <w:rPr>
              <w:rFonts w:asciiTheme="minorHAnsi" w:hAnsiTheme="minorHAnsi"/>
              <w:noProof/>
              <w:sz w:val="22"/>
            </w:rPr>
          </w:pPr>
          <w:hyperlink w:anchor="_Toc256000026" w:history="1">
            <w:r>
              <w:rPr>
                <w:rStyle w:val="Hyperlink"/>
              </w:rPr>
              <w:t>7.7</w:t>
            </w:r>
            <w:r>
              <w:rPr>
                <w:rFonts w:asciiTheme="minorHAnsi" w:hAnsiTheme="minorHAnsi"/>
                <w:noProof/>
                <w:sz w:val="22"/>
              </w:rPr>
              <w:tab/>
            </w:r>
            <w:r>
              <w:rPr>
                <w:rStyle w:val="Hyperlink"/>
              </w:rPr>
              <w:t>OQ Protocol</w:t>
            </w:r>
            <w:r>
              <w:tab/>
            </w:r>
            <w:r>
              <w:fldChar w:fldCharType="begin"/>
            </w:r>
            <w:r>
              <w:instrText xml:space="preserve"> PAGEREF _Toc256000026 \h </w:instrText>
            </w:r>
            <w:r>
              <w:fldChar w:fldCharType="separate"/>
            </w:r>
            <w:r>
              <w:t>27</w:t>
            </w:r>
            <w:r>
              <w:fldChar w:fldCharType="end"/>
            </w:r>
          </w:hyperlink>
        </w:p>
        <w:p>
          <w:pPr>
            <w:pStyle w:val="TOC1"/>
            <w:tabs>
              <w:tab w:val="left" w:pos="440"/>
              <w:tab w:val="right" w:leader="dot" w:pos="9075"/>
            </w:tabs>
            <w:rPr>
              <w:rFonts w:asciiTheme="minorHAnsi" w:hAnsiTheme="minorHAnsi"/>
              <w:noProof/>
              <w:sz w:val="22"/>
            </w:rPr>
          </w:pPr>
          <w:hyperlink w:anchor="_Toc256000027" w:history="1">
            <w:r>
              <w:rPr>
                <w:rStyle w:val="Hyperlink"/>
              </w:rPr>
              <w:t>8.</w:t>
            </w:r>
            <w:r>
              <w:rPr>
                <w:rFonts w:asciiTheme="minorHAnsi" w:hAnsiTheme="minorHAnsi"/>
                <w:noProof/>
                <w:sz w:val="22"/>
              </w:rPr>
              <w:tab/>
            </w:r>
            <w:r w:rsidRPr="005D6E81">
              <w:rPr>
                <w:rStyle w:val="Hyperlink"/>
              </w:rPr>
              <w:t>Performance Qualification</w:t>
            </w:r>
            <w:r>
              <w:rPr>
                <w:rStyle w:val="Hyperlink"/>
              </w:rPr>
              <w:t xml:space="preserve"> (PQ)</w:t>
            </w:r>
            <w:r>
              <w:tab/>
            </w:r>
            <w:r>
              <w:fldChar w:fldCharType="begin"/>
            </w:r>
            <w:r>
              <w:instrText xml:space="preserve"> PAGEREF _Toc256000027 \h </w:instrText>
            </w:r>
            <w:r>
              <w:fldChar w:fldCharType="separate"/>
            </w:r>
            <w:r>
              <w:t>32</w:t>
            </w:r>
            <w:r>
              <w:fldChar w:fldCharType="end"/>
            </w:r>
          </w:hyperlink>
        </w:p>
        <w:p>
          <w:pPr>
            <w:pStyle w:val="TOC2"/>
            <w:tabs>
              <w:tab w:val="left" w:pos="880"/>
              <w:tab w:val="right" w:leader="dot" w:pos="9075"/>
            </w:tabs>
            <w:rPr>
              <w:rFonts w:asciiTheme="minorHAnsi" w:hAnsiTheme="minorHAnsi"/>
              <w:noProof/>
              <w:sz w:val="22"/>
            </w:rPr>
          </w:pPr>
          <w:hyperlink w:anchor="_Toc256000028" w:history="1">
            <w:r>
              <w:rPr>
                <w:rStyle w:val="Hyperlink"/>
              </w:rPr>
              <w:t>8.1</w:t>
            </w:r>
            <w:r>
              <w:rPr>
                <w:rFonts w:asciiTheme="minorHAnsi" w:hAnsiTheme="minorHAnsi"/>
                <w:noProof/>
                <w:sz w:val="22"/>
              </w:rPr>
              <w:tab/>
            </w:r>
            <w:r>
              <w:rPr>
                <w:rStyle w:val="Hyperlink"/>
              </w:rPr>
              <w:t>Nominal Setpoint versus Normal Operating Range</w:t>
            </w:r>
            <w:r>
              <w:tab/>
            </w:r>
            <w:r>
              <w:fldChar w:fldCharType="begin"/>
            </w:r>
            <w:r>
              <w:instrText xml:space="preserve"> PAGEREF _Toc256000028 \h </w:instrText>
            </w:r>
            <w:r>
              <w:fldChar w:fldCharType="separate"/>
            </w:r>
            <w:r>
              <w:t>32</w:t>
            </w:r>
            <w:r>
              <w:fldChar w:fldCharType="end"/>
            </w:r>
          </w:hyperlink>
        </w:p>
        <w:p>
          <w:pPr>
            <w:pStyle w:val="TOC2"/>
            <w:tabs>
              <w:tab w:val="left" w:pos="880"/>
              <w:tab w:val="right" w:leader="dot" w:pos="9075"/>
            </w:tabs>
            <w:rPr>
              <w:rFonts w:asciiTheme="minorHAnsi" w:hAnsiTheme="minorHAnsi"/>
              <w:noProof/>
              <w:sz w:val="22"/>
            </w:rPr>
          </w:pPr>
          <w:hyperlink w:anchor="_Toc256000029" w:history="1">
            <w:r>
              <w:rPr>
                <w:rStyle w:val="Hyperlink"/>
              </w:rPr>
              <w:t>8.2</w:t>
            </w:r>
            <w:r>
              <w:rPr>
                <w:rFonts w:asciiTheme="minorHAnsi" w:hAnsiTheme="minorHAnsi"/>
                <w:noProof/>
                <w:sz w:val="22"/>
              </w:rPr>
              <w:tab/>
            </w:r>
            <w:r>
              <w:rPr>
                <w:rStyle w:val="Hyperlink"/>
              </w:rPr>
              <w:t>Number of required PQ runs</w:t>
            </w:r>
            <w:r>
              <w:tab/>
            </w:r>
            <w:r>
              <w:fldChar w:fldCharType="begin"/>
            </w:r>
            <w:r>
              <w:instrText xml:space="preserve"> PAGEREF _Toc256000029 \h </w:instrText>
            </w:r>
            <w:r>
              <w:fldChar w:fldCharType="separate"/>
            </w:r>
            <w:r>
              <w:t>33</w:t>
            </w:r>
            <w:r>
              <w:fldChar w:fldCharType="end"/>
            </w:r>
          </w:hyperlink>
        </w:p>
        <w:p>
          <w:pPr>
            <w:pStyle w:val="TOC2"/>
            <w:tabs>
              <w:tab w:val="left" w:pos="880"/>
              <w:tab w:val="right" w:leader="dot" w:pos="9075"/>
            </w:tabs>
            <w:rPr>
              <w:rFonts w:asciiTheme="minorHAnsi" w:hAnsiTheme="minorHAnsi"/>
              <w:noProof/>
              <w:sz w:val="22"/>
            </w:rPr>
          </w:pPr>
          <w:hyperlink w:anchor="_Toc256000030" w:history="1">
            <w:r>
              <w:rPr>
                <w:rStyle w:val="Hyperlink"/>
              </w:rPr>
              <w:t>8.3</w:t>
            </w:r>
            <w:r>
              <w:rPr>
                <w:rFonts w:asciiTheme="minorHAnsi" w:hAnsiTheme="minorHAnsi"/>
                <w:noProof/>
                <w:sz w:val="22"/>
              </w:rPr>
              <w:tab/>
            </w:r>
            <w:r>
              <w:rPr>
                <w:rStyle w:val="Hyperlink"/>
              </w:rPr>
              <w:t>Number of manufactured samples</w:t>
            </w:r>
            <w:r>
              <w:tab/>
            </w:r>
            <w:r>
              <w:fldChar w:fldCharType="begin"/>
            </w:r>
            <w:r>
              <w:instrText xml:space="preserve"> PAGEREF _Toc256000030 \h </w:instrText>
            </w:r>
            <w:r>
              <w:fldChar w:fldCharType="separate"/>
            </w:r>
            <w:r>
              <w:t>33</w:t>
            </w:r>
            <w:r>
              <w:fldChar w:fldCharType="end"/>
            </w:r>
          </w:hyperlink>
        </w:p>
        <w:p>
          <w:pPr>
            <w:pStyle w:val="TOC2"/>
            <w:tabs>
              <w:tab w:val="left" w:pos="880"/>
              <w:tab w:val="right" w:leader="dot" w:pos="9075"/>
            </w:tabs>
            <w:rPr>
              <w:rFonts w:asciiTheme="minorHAnsi" w:hAnsiTheme="minorHAnsi"/>
              <w:noProof/>
              <w:sz w:val="22"/>
            </w:rPr>
          </w:pPr>
          <w:hyperlink w:anchor="_Toc256000031" w:history="1">
            <w:r>
              <w:rPr>
                <w:rStyle w:val="Hyperlink"/>
              </w:rPr>
              <w:t>8.4</w:t>
            </w:r>
            <w:r>
              <w:rPr>
                <w:rFonts w:asciiTheme="minorHAnsi" w:hAnsiTheme="minorHAnsi"/>
                <w:noProof/>
                <w:sz w:val="22"/>
              </w:rPr>
              <w:tab/>
            </w:r>
            <w:r>
              <w:rPr>
                <w:rStyle w:val="Hyperlink"/>
              </w:rPr>
              <w:t xml:space="preserve">PQ </w:t>
            </w:r>
            <w:r>
              <w:rPr>
                <w:rStyle w:val="Hyperlink"/>
              </w:rPr>
              <w:t>Prerequisites</w:t>
            </w:r>
            <w:r>
              <w:tab/>
            </w:r>
            <w:r>
              <w:fldChar w:fldCharType="begin"/>
            </w:r>
            <w:r>
              <w:instrText xml:space="preserve"> PAGEREF _Toc256000031 \h </w:instrText>
            </w:r>
            <w:r>
              <w:fldChar w:fldCharType="separate"/>
            </w:r>
            <w:r>
              <w:t>33</w:t>
            </w:r>
            <w:r>
              <w:fldChar w:fldCharType="end"/>
            </w:r>
          </w:hyperlink>
        </w:p>
        <w:p>
          <w:pPr>
            <w:pStyle w:val="TOC2"/>
            <w:tabs>
              <w:tab w:val="left" w:pos="880"/>
              <w:tab w:val="right" w:leader="dot" w:pos="9075"/>
            </w:tabs>
            <w:rPr>
              <w:rFonts w:asciiTheme="minorHAnsi" w:hAnsiTheme="minorHAnsi"/>
              <w:noProof/>
              <w:sz w:val="22"/>
            </w:rPr>
          </w:pPr>
          <w:hyperlink w:anchor="_Toc256000032" w:history="1">
            <w:r>
              <w:rPr>
                <w:rStyle w:val="Hyperlink"/>
              </w:rPr>
              <w:t>8.5</w:t>
            </w:r>
            <w:r>
              <w:rPr>
                <w:rFonts w:asciiTheme="minorHAnsi" w:hAnsiTheme="minorHAnsi"/>
                <w:noProof/>
                <w:sz w:val="22"/>
              </w:rPr>
              <w:tab/>
            </w:r>
            <w:r>
              <w:rPr>
                <w:rStyle w:val="Hyperlink"/>
              </w:rPr>
              <w:t>Protocol</w:t>
            </w:r>
            <w:r>
              <w:tab/>
            </w:r>
            <w:r>
              <w:fldChar w:fldCharType="begin"/>
            </w:r>
            <w:r>
              <w:instrText xml:space="preserve"> PAGEREF _Toc256000032 \h </w:instrText>
            </w:r>
            <w:r>
              <w:fldChar w:fldCharType="separate"/>
            </w:r>
            <w:r>
              <w:t>34</w:t>
            </w:r>
            <w:r>
              <w:fldChar w:fldCharType="end"/>
            </w:r>
          </w:hyperlink>
        </w:p>
        <w:p>
          <w:pPr>
            <w:pStyle w:val="TOC1"/>
            <w:tabs>
              <w:tab w:val="left" w:pos="440"/>
              <w:tab w:val="right" w:leader="dot" w:pos="9075"/>
            </w:tabs>
            <w:rPr>
              <w:rFonts w:asciiTheme="minorHAnsi" w:hAnsiTheme="minorHAnsi"/>
              <w:noProof/>
              <w:sz w:val="22"/>
            </w:rPr>
          </w:pPr>
          <w:hyperlink w:anchor="_Toc256000033" w:history="1">
            <w:r>
              <w:rPr>
                <w:rStyle w:val="Hyperlink"/>
              </w:rPr>
              <w:t>9.</w:t>
            </w:r>
            <w:r>
              <w:rPr>
                <w:rFonts w:asciiTheme="minorHAnsi" w:hAnsiTheme="minorHAnsi"/>
                <w:noProof/>
                <w:sz w:val="22"/>
              </w:rPr>
              <w:tab/>
            </w:r>
            <w:r w:rsidRPr="005D6E81">
              <w:rPr>
                <w:rStyle w:val="Hyperlink"/>
              </w:rPr>
              <w:t>Test Method Validation</w:t>
            </w:r>
            <w:r>
              <w:tab/>
            </w:r>
            <w:r>
              <w:fldChar w:fldCharType="begin"/>
            </w:r>
            <w:r>
              <w:instrText xml:space="preserve"> PAGEREF _Toc256000033 \h </w:instrText>
            </w:r>
            <w:r>
              <w:fldChar w:fldCharType="separate"/>
            </w:r>
            <w:r>
              <w:t>38</w:t>
            </w:r>
            <w:r>
              <w:fldChar w:fldCharType="end"/>
            </w:r>
          </w:hyperlink>
        </w:p>
        <w:p>
          <w:pPr>
            <w:pStyle w:val="TOC1"/>
            <w:tabs>
              <w:tab w:val="left" w:pos="660"/>
              <w:tab w:val="right" w:leader="dot" w:pos="9075"/>
            </w:tabs>
            <w:rPr>
              <w:rFonts w:asciiTheme="minorHAnsi" w:hAnsiTheme="minorHAnsi"/>
              <w:noProof/>
              <w:sz w:val="22"/>
            </w:rPr>
          </w:pPr>
          <w:hyperlink w:anchor="_Toc256000034" w:history="1">
            <w:r>
              <w:rPr>
                <w:rStyle w:val="Hyperlink"/>
              </w:rPr>
              <w:t>10.</w:t>
            </w:r>
            <w:r>
              <w:rPr>
                <w:rFonts w:asciiTheme="minorHAnsi" w:hAnsiTheme="minorHAnsi"/>
                <w:noProof/>
                <w:sz w:val="22"/>
              </w:rPr>
              <w:tab/>
            </w:r>
            <w:r w:rsidRPr="005D6E81">
              <w:rPr>
                <w:rStyle w:val="Hyperlink"/>
              </w:rPr>
              <w:t>Sampling Plans for Process Validation</w:t>
            </w:r>
            <w:r>
              <w:tab/>
            </w:r>
            <w:r>
              <w:fldChar w:fldCharType="begin"/>
            </w:r>
            <w:r>
              <w:instrText xml:space="preserve"> PAGEREF _Toc256000034 \h </w:instrText>
            </w:r>
            <w:r>
              <w:fldChar w:fldCharType="separate"/>
            </w:r>
            <w:r>
              <w:t>39</w:t>
            </w:r>
            <w:r>
              <w:fldChar w:fldCharType="end"/>
            </w:r>
          </w:hyperlink>
        </w:p>
        <w:p>
          <w:pPr>
            <w:pStyle w:val="TOC2"/>
            <w:tabs>
              <w:tab w:val="left" w:pos="880"/>
              <w:tab w:val="right" w:leader="dot" w:pos="9075"/>
            </w:tabs>
            <w:rPr>
              <w:rFonts w:asciiTheme="minorHAnsi" w:hAnsiTheme="minorHAnsi"/>
              <w:noProof/>
              <w:sz w:val="22"/>
            </w:rPr>
          </w:pPr>
          <w:hyperlink w:anchor="_Toc256000035" w:history="1">
            <w:r>
              <w:rPr>
                <w:rStyle w:val="Hyperlink"/>
              </w:rPr>
              <w:t>10.1</w:t>
            </w:r>
            <w:r>
              <w:rPr>
                <w:rFonts w:asciiTheme="minorHAnsi" w:hAnsiTheme="minorHAnsi"/>
                <w:noProof/>
                <w:sz w:val="22"/>
              </w:rPr>
              <w:tab/>
            </w:r>
            <w:r w:rsidRPr="006F1815">
              <w:rPr>
                <w:rStyle w:val="Hyperlink"/>
              </w:rPr>
              <w:t>Risk-Based Sampling Plans</w:t>
            </w:r>
            <w:r>
              <w:tab/>
            </w:r>
            <w:r>
              <w:fldChar w:fldCharType="begin"/>
            </w:r>
            <w:r>
              <w:instrText xml:space="preserve"> PAGEREF _Toc256000035 \h </w:instrText>
            </w:r>
            <w:r>
              <w:fldChar w:fldCharType="separate"/>
            </w:r>
            <w:r>
              <w:t>39</w:t>
            </w:r>
            <w:r>
              <w:fldChar w:fldCharType="end"/>
            </w:r>
          </w:hyperlink>
        </w:p>
        <w:p>
          <w:pPr>
            <w:pStyle w:val="TOC2"/>
            <w:tabs>
              <w:tab w:val="left" w:pos="880"/>
              <w:tab w:val="right" w:leader="dot" w:pos="9075"/>
            </w:tabs>
            <w:rPr>
              <w:rFonts w:asciiTheme="minorHAnsi" w:hAnsiTheme="minorHAnsi"/>
              <w:noProof/>
              <w:sz w:val="22"/>
            </w:rPr>
          </w:pPr>
          <w:hyperlink w:anchor="_Toc256000036" w:history="1">
            <w:r>
              <w:rPr>
                <w:rStyle w:val="Hyperlink"/>
              </w:rPr>
              <w:t>10.2</w:t>
            </w:r>
            <w:r>
              <w:rPr>
                <w:rFonts w:asciiTheme="minorHAnsi" w:hAnsiTheme="minorHAnsi"/>
                <w:noProof/>
                <w:sz w:val="22"/>
              </w:rPr>
              <w:tab/>
            </w:r>
            <w:r>
              <w:rPr>
                <w:rStyle w:val="Hyperlink"/>
              </w:rPr>
              <w:t>Sampling Plan Assumptions</w:t>
            </w:r>
            <w:r>
              <w:tab/>
            </w:r>
            <w:r>
              <w:fldChar w:fldCharType="begin"/>
            </w:r>
            <w:r>
              <w:instrText xml:space="preserve"> PAGEREF _Toc256000036 \h </w:instrText>
            </w:r>
            <w:r>
              <w:fldChar w:fldCharType="separate"/>
            </w:r>
            <w:r>
              <w:t>39</w:t>
            </w:r>
            <w:r>
              <w:fldChar w:fldCharType="end"/>
            </w:r>
          </w:hyperlink>
        </w:p>
        <w:p>
          <w:pPr>
            <w:pStyle w:val="TOC2"/>
            <w:tabs>
              <w:tab w:val="left" w:pos="880"/>
              <w:tab w:val="right" w:leader="dot" w:pos="9075"/>
            </w:tabs>
            <w:rPr>
              <w:rFonts w:asciiTheme="minorHAnsi" w:hAnsiTheme="minorHAnsi"/>
              <w:noProof/>
              <w:sz w:val="22"/>
            </w:rPr>
          </w:pPr>
          <w:hyperlink w:anchor="_Toc256000037" w:history="1">
            <w:r>
              <w:rPr>
                <w:rStyle w:val="Hyperlink"/>
              </w:rPr>
              <w:t>10.3</w:t>
            </w:r>
            <w:r>
              <w:rPr>
                <w:rFonts w:asciiTheme="minorHAnsi" w:hAnsiTheme="minorHAnsi"/>
                <w:noProof/>
                <w:sz w:val="22"/>
              </w:rPr>
              <w:tab/>
            </w:r>
            <w:r>
              <w:rPr>
                <w:rStyle w:val="Hyperlink"/>
              </w:rPr>
              <w:t>Confidence and Reliability</w:t>
            </w:r>
            <w:r>
              <w:tab/>
            </w:r>
            <w:r>
              <w:fldChar w:fldCharType="begin"/>
            </w:r>
            <w:r>
              <w:instrText xml:space="preserve"> PAGEREF _Toc256000037 \h </w:instrText>
            </w:r>
            <w:r>
              <w:fldChar w:fldCharType="separate"/>
            </w:r>
            <w:r>
              <w:t>40</w:t>
            </w:r>
            <w:r>
              <w:fldChar w:fldCharType="end"/>
            </w:r>
          </w:hyperlink>
        </w:p>
        <w:p>
          <w:pPr>
            <w:pStyle w:val="TOC2"/>
            <w:tabs>
              <w:tab w:val="left" w:pos="880"/>
              <w:tab w:val="right" w:leader="dot" w:pos="9075"/>
            </w:tabs>
            <w:rPr>
              <w:rFonts w:asciiTheme="minorHAnsi" w:hAnsiTheme="minorHAnsi"/>
              <w:noProof/>
              <w:sz w:val="22"/>
            </w:rPr>
          </w:pPr>
          <w:hyperlink w:anchor="_Toc256000038" w:history="1">
            <w:r>
              <w:rPr>
                <w:rStyle w:val="Hyperlink"/>
              </w:rPr>
              <w:t>10.4</w:t>
            </w:r>
            <w:r>
              <w:rPr>
                <w:rFonts w:asciiTheme="minorHAnsi" w:hAnsiTheme="minorHAnsi"/>
                <w:noProof/>
                <w:sz w:val="22"/>
              </w:rPr>
              <w:tab/>
            </w:r>
            <w:r>
              <w:rPr>
                <w:rStyle w:val="Hyperlink"/>
              </w:rPr>
              <w:t>Sampling Plan Rationales</w:t>
            </w:r>
            <w:r>
              <w:tab/>
            </w:r>
            <w:r>
              <w:fldChar w:fldCharType="begin"/>
            </w:r>
            <w:r>
              <w:instrText xml:space="preserve"> PAGEREF _Toc256000038 \h </w:instrText>
            </w:r>
            <w:r>
              <w:fldChar w:fldCharType="separate"/>
            </w:r>
            <w:r>
              <w:t>41</w:t>
            </w:r>
            <w:r>
              <w:fldChar w:fldCharType="end"/>
            </w:r>
          </w:hyperlink>
        </w:p>
        <w:p>
          <w:pPr>
            <w:pStyle w:val="TOC2"/>
            <w:tabs>
              <w:tab w:val="left" w:pos="880"/>
              <w:tab w:val="right" w:leader="dot" w:pos="9075"/>
            </w:tabs>
            <w:rPr>
              <w:rFonts w:asciiTheme="minorHAnsi" w:hAnsiTheme="minorHAnsi"/>
              <w:noProof/>
              <w:sz w:val="22"/>
            </w:rPr>
          </w:pPr>
          <w:hyperlink w:anchor="_Toc256000039" w:history="1">
            <w:r>
              <w:rPr>
                <w:rStyle w:val="Hyperlink"/>
              </w:rPr>
              <w:t>10.5</w:t>
            </w:r>
            <w:r>
              <w:rPr>
                <w:rFonts w:asciiTheme="minorHAnsi" w:hAnsiTheme="minorHAnsi"/>
                <w:noProof/>
                <w:sz w:val="22"/>
              </w:rPr>
              <w:tab/>
            </w:r>
            <w:r w:rsidRPr="005D6E81">
              <w:rPr>
                <w:rStyle w:val="Hyperlink"/>
              </w:rPr>
              <w:t xml:space="preserve">Sampling Plan Confidence and Reliability </w:t>
            </w:r>
            <w:r w:rsidRPr="005D6E81">
              <w:rPr>
                <w:rStyle w:val="Hyperlink"/>
              </w:rPr>
              <w:t>Statement</w:t>
            </w:r>
            <w:r>
              <w:tab/>
            </w:r>
            <w:r>
              <w:fldChar w:fldCharType="begin"/>
            </w:r>
            <w:r>
              <w:instrText xml:space="preserve"> PAGEREF _Toc256000039 \h </w:instrText>
            </w:r>
            <w:r>
              <w:fldChar w:fldCharType="separate"/>
            </w:r>
            <w:r>
              <w:t>41</w:t>
            </w:r>
            <w:r>
              <w:fldChar w:fldCharType="end"/>
            </w:r>
          </w:hyperlink>
        </w:p>
        <w:p>
          <w:pPr>
            <w:pStyle w:val="TOC2"/>
            <w:tabs>
              <w:tab w:val="left" w:pos="880"/>
              <w:tab w:val="right" w:leader="dot" w:pos="9075"/>
            </w:tabs>
            <w:rPr>
              <w:rFonts w:asciiTheme="minorHAnsi" w:hAnsiTheme="minorHAnsi"/>
              <w:noProof/>
              <w:sz w:val="22"/>
            </w:rPr>
          </w:pPr>
          <w:hyperlink w:anchor="_Toc256000040" w:history="1">
            <w:r>
              <w:rPr>
                <w:rStyle w:val="Hyperlink"/>
              </w:rPr>
              <w:t>10.6</w:t>
            </w:r>
            <w:r>
              <w:rPr>
                <w:rFonts w:asciiTheme="minorHAnsi" w:hAnsiTheme="minorHAnsi"/>
                <w:noProof/>
                <w:sz w:val="22"/>
              </w:rPr>
              <w:tab/>
            </w:r>
            <w:r w:rsidRPr="00C45B59">
              <w:rPr>
                <w:rStyle w:val="Hyperlink"/>
              </w:rPr>
              <w:t>Attribute sampling plans for 95% Confidence</w:t>
            </w:r>
            <w:r>
              <w:tab/>
            </w:r>
            <w:r>
              <w:fldChar w:fldCharType="begin"/>
            </w:r>
            <w:r>
              <w:instrText xml:space="preserve"> PAGEREF _Toc256000040 \h </w:instrText>
            </w:r>
            <w:r>
              <w:fldChar w:fldCharType="separate"/>
            </w:r>
            <w:r>
              <w:t>42</w:t>
            </w:r>
            <w:r>
              <w:fldChar w:fldCharType="end"/>
            </w:r>
          </w:hyperlink>
        </w:p>
        <w:p>
          <w:pPr>
            <w:pStyle w:val="TOC2"/>
            <w:tabs>
              <w:tab w:val="left" w:pos="880"/>
              <w:tab w:val="right" w:leader="dot" w:pos="9075"/>
            </w:tabs>
            <w:rPr>
              <w:rFonts w:asciiTheme="minorHAnsi" w:hAnsiTheme="minorHAnsi"/>
              <w:noProof/>
              <w:sz w:val="22"/>
            </w:rPr>
          </w:pPr>
          <w:hyperlink w:anchor="_Toc256000041" w:history="1">
            <w:r>
              <w:rPr>
                <w:rStyle w:val="Hyperlink"/>
              </w:rPr>
              <w:t>10.7</w:t>
            </w:r>
            <w:r>
              <w:rPr>
                <w:rFonts w:asciiTheme="minorHAnsi" w:hAnsiTheme="minorHAnsi"/>
                <w:noProof/>
                <w:sz w:val="22"/>
              </w:rPr>
              <w:tab/>
            </w:r>
            <w:r>
              <w:rPr>
                <w:rStyle w:val="Hyperlink"/>
              </w:rPr>
              <w:t>Attribute sampling plans for 90% Confidence</w:t>
            </w:r>
            <w:r>
              <w:tab/>
            </w:r>
            <w:r>
              <w:fldChar w:fldCharType="begin"/>
            </w:r>
            <w:r>
              <w:instrText xml:space="preserve"> PAGEREF _Toc256000041 \h </w:instrText>
            </w:r>
            <w:r>
              <w:fldChar w:fldCharType="separate"/>
            </w:r>
            <w:r>
              <w:t>43</w:t>
            </w:r>
            <w:r>
              <w:fldChar w:fldCharType="end"/>
            </w:r>
          </w:hyperlink>
        </w:p>
        <w:p>
          <w:pPr>
            <w:pStyle w:val="TOC2"/>
            <w:tabs>
              <w:tab w:val="left" w:pos="880"/>
              <w:tab w:val="right" w:leader="dot" w:pos="9075"/>
            </w:tabs>
            <w:rPr>
              <w:rFonts w:asciiTheme="minorHAnsi" w:hAnsiTheme="minorHAnsi"/>
              <w:noProof/>
              <w:sz w:val="22"/>
            </w:rPr>
          </w:pPr>
          <w:hyperlink w:anchor="_Toc256000042" w:history="1">
            <w:r>
              <w:rPr>
                <w:rStyle w:val="Hyperlink"/>
              </w:rPr>
              <w:t>10.8</w:t>
            </w:r>
            <w:r>
              <w:rPr>
                <w:rFonts w:asciiTheme="minorHAnsi" w:hAnsiTheme="minorHAnsi"/>
                <w:noProof/>
                <w:sz w:val="22"/>
              </w:rPr>
              <w:tab/>
            </w:r>
            <w:r>
              <w:rPr>
                <w:rStyle w:val="Hyperlink"/>
              </w:rPr>
              <w:t>Variable Sampling Plans for PQ</w:t>
            </w:r>
            <w:r>
              <w:tab/>
            </w:r>
            <w:r>
              <w:fldChar w:fldCharType="begin"/>
            </w:r>
            <w:r>
              <w:instrText xml:space="preserve"> PAGEREF _Toc256000042 \h </w:instrText>
            </w:r>
            <w:r>
              <w:fldChar w:fldCharType="separate"/>
            </w:r>
            <w:r>
              <w:t>44</w:t>
            </w:r>
            <w:r>
              <w:fldChar w:fldCharType="end"/>
            </w:r>
          </w:hyperlink>
        </w:p>
        <w:p>
          <w:pPr>
            <w:pStyle w:val="TOC2"/>
            <w:tabs>
              <w:tab w:val="left" w:pos="880"/>
              <w:tab w:val="right" w:leader="dot" w:pos="9075"/>
            </w:tabs>
            <w:rPr>
              <w:rFonts w:asciiTheme="minorHAnsi" w:hAnsiTheme="minorHAnsi"/>
              <w:noProof/>
              <w:sz w:val="22"/>
            </w:rPr>
          </w:pPr>
          <w:hyperlink w:anchor="_Toc256000043" w:history="1">
            <w:r>
              <w:rPr>
                <w:rStyle w:val="Hyperlink"/>
              </w:rPr>
              <w:t>10.9</w:t>
            </w:r>
            <w:r>
              <w:rPr>
                <w:rFonts w:asciiTheme="minorHAnsi" w:hAnsiTheme="minorHAnsi"/>
                <w:noProof/>
                <w:sz w:val="22"/>
              </w:rPr>
              <w:tab/>
            </w:r>
            <w:r w:rsidRPr="004469E6">
              <w:rPr>
                <w:rStyle w:val="Hyperlink"/>
              </w:rPr>
              <w:t>Variable</w:t>
            </w:r>
            <w:r>
              <w:rPr>
                <w:rStyle w:val="Hyperlink"/>
              </w:rPr>
              <w:t xml:space="preserve"> Sampling Plans for OQ</w:t>
            </w:r>
            <w:r>
              <w:tab/>
            </w:r>
            <w:r>
              <w:fldChar w:fldCharType="begin"/>
            </w:r>
            <w:r>
              <w:instrText xml:space="preserve"> PAGEREF _Toc256000043 \h </w:instrText>
            </w:r>
            <w:r>
              <w:fldChar w:fldCharType="separate"/>
            </w:r>
            <w:r>
              <w:t>45</w:t>
            </w:r>
            <w:r>
              <w:fldChar w:fldCharType="end"/>
            </w:r>
          </w:hyperlink>
        </w:p>
        <w:p>
          <w:pPr>
            <w:pStyle w:val="TOC1"/>
            <w:tabs>
              <w:tab w:val="left" w:pos="660"/>
              <w:tab w:val="right" w:leader="dot" w:pos="9075"/>
            </w:tabs>
            <w:rPr>
              <w:rFonts w:asciiTheme="minorHAnsi" w:hAnsiTheme="minorHAnsi"/>
              <w:noProof/>
              <w:sz w:val="22"/>
            </w:rPr>
          </w:pPr>
          <w:hyperlink w:anchor="_Toc256000044" w:history="1">
            <w:r>
              <w:rPr>
                <w:rStyle w:val="Hyperlink"/>
              </w:rPr>
              <w:t>11.</w:t>
            </w:r>
            <w:r>
              <w:rPr>
                <w:rFonts w:asciiTheme="minorHAnsi" w:hAnsiTheme="minorHAnsi"/>
                <w:noProof/>
                <w:sz w:val="22"/>
              </w:rPr>
              <w:tab/>
            </w:r>
            <w:r>
              <w:rPr>
                <w:rStyle w:val="Hyperlink"/>
              </w:rPr>
              <w:t>Procedure</w:t>
            </w:r>
            <w:r>
              <w:tab/>
            </w:r>
            <w:r>
              <w:fldChar w:fldCharType="begin"/>
            </w:r>
            <w:r>
              <w:instrText xml:space="preserve"> PAGEREF _Toc256000044 \h </w:instrText>
            </w:r>
            <w:r>
              <w:fldChar w:fldCharType="separate"/>
            </w:r>
            <w:r>
              <w:t>46</w:t>
            </w:r>
            <w:r>
              <w:fldChar w:fldCharType="end"/>
            </w:r>
          </w:hyperlink>
        </w:p>
        <w:p>
          <w:pPr>
            <w:pStyle w:val="TOC2"/>
            <w:tabs>
              <w:tab w:val="left" w:pos="880"/>
              <w:tab w:val="right" w:leader="dot" w:pos="9075"/>
            </w:tabs>
            <w:rPr>
              <w:rFonts w:asciiTheme="minorHAnsi" w:hAnsiTheme="minorHAnsi"/>
              <w:noProof/>
              <w:sz w:val="22"/>
            </w:rPr>
          </w:pPr>
          <w:hyperlink w:anchor="_Toc256000045" w:history="1">
            <w:r>
              <w:rPr>
                <w:rStyle w:val="Hyperlink"/>
              </w:rPr>
              <w:t>11.1</w:t>
            </w:r>
            <w:r>
              <w:rPr>
                <w:rFonts w:asciiTheme="minorHAnsi" w:hAnsiTheme="minorHAnsi"/>
                <w:noProof/>
                <w:sz w:val="22"/>
              </w:rPr>
              <w:tab/>
            </w:r>
            <w:r>
              <w:rPr>
                <w:rStyle w:val="Hyperlink"/>
              </w:rPr>
              <w:t>Select Reliability and Sampling Plan</w:t>
            </w:r>
            <w:r>
              <w:tab/>
            </w:r>
            <w:r>
              <w:fldChar w:fldCharType="begin"/>
            </w:r>
            <w:r>
              <w:instrText xml:space="preserve"> PAGEREF _Toc256000045 \h </w:instrText>
            </w:r>
            <w:r>
              <w:fldChar w:fldCharType="separate"/>
            </w:r>
            <w:r>
              <w:t>46</w:t>
            </w:r>
            <w:r>
              <w:fldChar w:fldCharType="end"/>
            </w:r>
          </w:hyperlink>
        </w:p>
        <w:p>
          <w:pPr>
            <w:pStyle w:val="TOC2"/>
            <w:tabs>
              <w:tab w:val="left" w:pos="880"/>
              <w:tab w:val="right" w:leader="dot" w:pos="9075"/>
            </w:tabs>
            <w:rPr>
              <w:rFonts w:asciiTheme="minorHAnsi" w:hAnsiTheme="minorHAnsi"/>
              <w:noProof/>
              <w:sz w:val="22"/>
            </w:rPr>
          </w:pPr>
          <w:hyperlink w:anchor="_Toc256000046" w:history="1">
            <w:r>
              <w:rPr>
                <w:rStyle w:val="Hyperlink"/>
              </w:rPr>
              <w:t>11.2</w:t>
            </w:r>
            <w:r>
              <w:rPr>
                <w:rFonts w:asciiTheme="minorHAnsi" w:hAnsiTheme="minorHAnsi"/>
                <w:noProof/>
                <w:sz w:val="22"/>
              </w:rPr>
              <w:tab/>
            </w:r>
            <w:r>
              <w:rPr>
                <w:rStyle w:val="Hyperlink"/>
              </w:rPr>
              <w:t>Document Rationale</w:t>
            </w:r>
            <w:r>
              <w:tab/>
            </w:r>
            <w:r>
              <w:fldChar w:fldCharType="begin"/>
            </w:r>
            <w:r>
              <w:instrText xml:space="preserve"> PAGEREF _Toc256000046 \h </w:instrText>
            </w:r>
            <w:r>
              <w:fldChar w:fldCharType="separate"/>
            </w:r>
            <w:r>
              <w:t>46</w:t>
            </w:r>
            <w:r>
              <w:fldChar w:fldCharType="end"/>
            </w:r>
          </w:hyperlink>
        </w:p>
        <w:p>
          <w:pPr>
            <w:pStyle w:val="TOC2"/>
            <w:tabs>
              <w:tab w:val="left" w:pos="880"/>
              <w:tab w:val="right" w:leader="dot" w:pos="9075"/>
            </w:tabs>
            <w:rPr>
              <w:rFonts w:asciiTheme="minorHAnsi" w:hAnsiTheme="minorHAnsi"/>
              <w:noProof/>
              <w:sz w:val="22"/>
            </w:rPr>
          </w:pPr>
          <w:hyperlink w:anchor="_Toc256000047" w:history="1">
            <w:r>
              <w:rPr>
                <w:rStyle w:val="Hyperlink"/>
              </w:rPr>
              <w:t>11.3</w:t>
            </w:r>
            <w:r>
              <w:rPr>
                <w:rFonts w:asciiTheme="minorHAnsi" w:hAnsiTheme="minorHAnsi"/>
                <w:noProof/>
                <w:sz w:val="22"/>
              </w:rPr>
              <w:tab/>
            </w:r>
            <w:r w:rsidRPr="002469B1">
              <w:rPr>
                <w:rStyle w:val="Hyperlink"/>
              </w:rPr>
              <w:t>Sample Pooling</w:t>
            </w:r>
            <w:r>
              <w:tab/>
            </w:r>
            <w:r>
              <w:fldChar w:fldCharType="begin"/>
            </w:r>
            <w:r>
              <w:instrText xml:space="preserve"> PAGEREF _Toc256000047 \h </w:instrText>
            </w:r>
            <w:r>
              <w:fldChar w:fldCharType="separate"/>
            </w:r>
            <w:r>
              <w:t>46</w:t>
            </w:r>
            <w:r>
              <w:fldChar w:fldCharType="end"/>
            </w:r>
          </w:hyperlink>
        </w:p>
        <w:p>
          <w:pPr>
            <w:pStyle w:val="TOC2"/>
            <w:tabs>
              <w:tab w:val="left" w:pos="880"/>
              <w:tab w:val="right" w:leader="dot" w:pos="9075"/>
            </w:tabs>
            <w:rPr>
              <w:rFonts w:asciiTheme="minorHAnsi" w:hAnsiTheme="minorHAnsi"/>
              <w:noProof/>
              <w:sz w:val="22"/>
            </w:rPr>
          </w:pPr>
          <w:hyperlink w:anchor="_Toc256000048" w:history="1">
            <w:r>
              <w:rPr>
                <w:rStyle w:val="Hyperlink"/>
              </w:rPr>
              <w:t>11.4</w:t>
            </w:r>
            <w:r>
              <w:rPr>
                <w:rFonts w:asciiTheme="minorHAnsi" w:hAnsiTheme="minorHAnsi"/>
                <w:noProof/>
                <w:sz w:val="22"/>
              </w:rPr>
              <w:tab/>
            </w:r>
            <w:r>
              <w:rPr>
                <w:rStyle w:val="Hyperlink"/>
              </w:rPr>
              <w:t>Analyze Results (Attribute Data)</w:t>
            </w:r>
            <w:r>
              <w:tab/>
            </w:r>
            <w:r>
              <w:fldChar w:fldCharType="begin"/>
            </w:r>
            <w:r>
              <w:instrText xml:space="preserve"> PAGEREF _Toc256000048 \h </w:instrText>
            </w:r>
            <w:r>
              <w:fldChar w:fldCharType="separate"/>
            </w:r>
            <w:r>
              <w:t>46</w:t>
            </w:r>
            <w:r>
              <w:fldChar w:fldCharType="end"/>
            </w:r>
          </w:hyperlink>
        </w:p>
        <w:p>
          <w:pPr>
            <w:pStyle w:val="TOC2"/>
            <w:tabs>
              <w:tab w:val="left" w:pos="880"/>
              <w:tab w:val="right" w:leader="dot" w:pos="9075"/>
            </w:tabs>
            <w:rPr>
              <w:rFonts w:asciiTheme="minorHAnsi" w:hAnsiTheme="minorHAnsi"/>
              <w:noProof/>
              <w:sz w:val="22"/>
            </w:rPr>
          </w:pPr>
          <w:hyperlink w:anchor="_Toc256000049" w:history="1">
            <w:r>
              <w:rPr>
                <w:rStyle w:val="Hyperlink"/>
              </w:rPr>
              <w:t>11.5</w:t>
            </w:r>
            <w:r>
              <w:rPr>
                <w:rFonts w:asciiTheme="minorHAnsi" w:hAnsiTheme="minorHAnsi"/>
                <w:noProof/>
                <w:sz w:val="22"/>
              </w:rPr>
              <w:tab/>
            </w:r>
            <w:r>
              <w:rPr>
                <w:rStyle w:val="Hyperlink"/>
              </w:rPr>
              <w:t>Analyze Results (Variable Data)</w:t>
            </w:r>
            <w:r>
              <w:tab/>
            </w:r>
            <w:r>
              <w:fldChar w:fldCharType="begin"/>
            </w:r>
            <w:r>
              <w:instrText xml:space="preserve"> PAGEREF _Toc256000049 \h </w:instrText>
            </w:r>
            <w:r>
              <w:fldChar w:fldCharType="separate"/>
            </w:r>
            <w:r>
              <w:t>46</w:t>
            </w:r>
            <w:r>
              <w:fldChar w:fldCharType="end"/>
            </w:r>
          </w:hyperlink>
        </w:p>
        <w:p>
          <w:pPr>
            <w:pStyle w:val="TOC2"/>
            <w:tabs>
              <w:tab w:val="left" w:pos="880"/>
              <w:tab w:val="right" w:leader="dot" w:pos="9075"/>
            </w:tabs>
            <w:rPr>
              <w:rFonts w:asciiTheme="minorHAnsi" w:hAnsiTheme="minorHAnsi"/>
              <w:noProof/>
              <w:sz w:val="22"/>
            </w:rPr>
          </w:pPr>
          <w:hyperlink w:anchor="_Toc256000050" w:history="1">
            <w:r>
              <w:rPr>
                <w:rStyle w:val="Hyperlink"/>
              </w:rPr>
              <w:t>11.6</w:t>
            </w:r>
            <w:r>
              <w:rPr>
                <w:rFonts w:asciiTheme="minorHAnsi" w:hAnsiTheme="minorHAnsi"/>
                <w:noProof/>
                <w:sz w:val="22"/>
              </w:rPr>
              <w:tab/>
            </w:r>
            <w:r>
              <w:rPr>
                <w:rStyle w:val="Hyperlink"/>
              </w:rPr>
              <w:t>Document Test Results</w:t>
            </w:r>
            <w:r>
              <w:tab/>
            </w:r>
            <w:r>
              <w:fldChar w:fldCharType="begin"/>
            </w:r>
            <w:r>
              <w:instrText xml:space="preserve"> PAGEREF _Toc256000050 \h </w:instrText>
            </w:r>
            <w:r>
              <w:fldChar w:fldCharType="separate"/>
            </w:r>
            <w:r>
              <w:t>47</w:t>
            </w:r>
            <w:r>
              <w:fldChar w:fldCharType="end"/>
            </w:r>
          </w:hyperlink>
        </w:p>
        <w:p>
          <w:pPr>
            <w:pStyle w:val="TOC2"/>
            <w:tabs>
              <w:tab w:val="left" w:pos="880"/>
              <w:tab w:val="right" w:leader="dot" w:pos="9075"/>
            </w:tabs>
            <w:rPr>
              <w:rFonts w:asciiTheme="minorHAnsi" w:hAnsiTheme="minorHAnsi"/>
              <w:noProof/>
              <w:sz w:val="22"/>
            </w:rPr>
          </w:pPr>
          <w:hyperlink w:anchor="_Toc256000051" w:history="1">
            <w:r>
              <w:rPr>
                <w:rStyle w:val="Hyperlink"/>
              </w:rPr>
              <w:t>11.7</w:t>
            </w:r>
            <w:r>
              <w:rPr>
                <w:rFonts w:asciiTheme="minorHAnsi" w:hAnsiTheme="minorHAnsi"/>
                <w:noProof/>
                <w:sz w:val="22"/>
              </w:rPr>
              <w:tab/>
            </w:r>
            <w:r>
              <w:rPr>
                <w:rStyle w:val="Hyperlink"/>
              </w:rPr>
              <w:t>Confidence Statement</w:t>
            </w:r>
            <w:r>
              <w:tab/>
            </w:r>
            <w:r>
              <w:fldChar w:fldCharType="begin"/>
            </w:r>
            <w:r>
              <w:instrText xml:space="preserve"> PAGEREF _Toc256000051 \h </w:instrText>
            </w:r>
            <w:r>
              <w:fldChar w:fldCharType="separate"/>
            </w:r>
            <w:r>
              <w:t>47</w:t>
            </w:r>
            <w:r>
              <w:fldChar w:fldCharType="end"/>
            </w:r>
          </w:hyperlink>
        </w:p>
        <w:p>
          <w:pPr>
            <w:pStyle w:val="TOC1"/>
            <w:tabs>
              <w:tab w:val="left" w:pos="660"/>
              <w:tab w:val="right" w:leader="dot" w:pos="9075"/>
            </w:tabs>
            <w:rPr>
              <w:rFonts w:asciiTheme="minorHAnsi" w:hAnsiTheme="minorHAnsi"/>
              <w:noProof/>
              <w:sz w:val="22"/>
            </w:rPr>
          </w:pPr>
          <w:hyperlink w:anchor="_Toc256000052" w:history="1">
            <w:r>
              <w:rPr>
                <w:rStyle w:val="Hyperlink"/>
              </w:rPr>
              <w:t>12.</w:t>
            </w:r>
            <w:r>
              <w:rPr>
                <w:rFonts w:asciiTheme="minorHAnsi" w:hAnsiTheme="minorHAnsi"/>
                <w:noProof/>
                <w:sz w:val="22"/>
              </w:rPr>
              <w:tab/>
            </w:r>
            <w:r w:rsidRPr="00FA6FCB">
              <w:rPr>
                <w:rStyle w:val="Hyperlink"/>
              </w:rPr>
              <w:t>Sampling strategies for Low Volume production</w:t>
            </w:r>
            <w:r>
              <w:tab/>
            </w:r>
            <w:r>
              <w:fldChar w:fldCharType="begin"/>
            </w:r>
            <w:r>
              <w:instrText xml:space="preserve"> PAGEREF _Toc256000052 \h </w:instrText>
            </w:r>
            <w:r>
              <w:fldChar w:fldCharType="separate"/>
            </w:r>
            <w:r>
              <w:t>48</w:t>
            </w:r>
            <w:r>
              <w:fldChar w:fldCharType="end"/>
            </w:r>
          </w:hyperlink>
        </w:p>
        <w:p>
          <w:pPr>
            <w:pStyle w:val="TOC1"/>
            <w:tabs>
              <w:tab w:val="left" w:pos="660"/>
              <w:tab w:val="right" w:leader="dot" w:pos="9075"/>
            </w:tabs>
            <w:rPr>
              <w:rFonts w:asciiTheme="minorHAnsi" w:hAnsiTheme="minorHAnsi"/>
              <w:noProof/>
              <w:sz w:val="22"/>
            </w:rPr>
          </w:pPr>
          <w:hyperlink w:anchor="_Toc256000053" w:history="1">
            <w:r>
              <w:rPr>
                <w:rStyle w:val="Hyperlink"/>
              </w:rPr>
              <w:t>13.</w:t>
            </w:r>
            <w:r>
              <w:rPr>
                <w:rFonts w:asciiTheme="minorHAnsi" w:hAnsiTheme="minorHAnsi"/>
                <w:noProof/>
                <w:sz w:val="22"/>
              </w:rPr>
              <w:tab/>
            </w:r>
            <w:r>
              <w:rPr>
                <w:rStyle w:val="Hyperlink"/>
              </w:rPr>
              <w:t>Normality Testing</w:t>
            </w:r>
            <w:r w:rsidR="004474E2">
              <w:rPr>
                <w:rStyle w:val="Hyperlink"/>
              </w:rPr>
              <w:t xml:space="preserve"> (Using Minitab)</w:t>
            </w:r>
            <w:r>
              <w:tab/>
            </w:r>
            <w:r>
              <w:fldChar w:fldCharType="begin"/>
            </w:r>
            <w:r>
              <w:instrText xml:space="preserve"> PAGEREF _Toc256000053 \h </w:instrText>
            </w:r>
            <w:r>
              <w:fldChar w:fldCharType="separate"/>
            </w:r>
            <w:r>
              <w:t>49</w:t>
            </w:r>
            <w:r>
              <w:fldChar w:fldCharType="end"/>
            </w:r>
          </w:hyperlink>
        </w:p>
        <w:p>
          <w:pPr>
            <w:pStyle w:val="TOC2"/>
            <w:tabs>
              <w:tab w:val="left" w:pos="880"/>
              <w:tab w:val="right" w:leader="dot" w:pos="9075"/>
            </w:tabs>
            <w:rPr>
              <w:rFonts w:asciiTheme="minorHAnsi" w:hAnsiTheme="minorHAnsi"/>
              <w:noProof/>
              <w:sz w:val="22"/>
            </w:rPr>
          </w:pPr>
          <w:hyperlink w:anchor="_Toc256000054" w:history="1">
            <w:r>
              <w:rPr>
                <w:rStyle w:val="Hyperlink"/>
              </w:rPr>
              <w:t>13.2</w:t>
            </w:r>
            <w:r>
              <w:rPr>
                <w:rFonts w:asciiTheme="minorHAnsi" w:hAnsiTheme="minorHAnsi"/>
                <w:noProof/>
                <w:sz w:val="22"/>
              </w:rPr>
              <w:tab/>
            </w:r>
            <w:r>
              <w:rPr>
                <w:rStyle w:val="Hyperlink"/>
              </w:rPr>
              <w:t>When Normality Tests Fail</w:t>
            </w:r>
            <w:r>
              <w:tab/>
            </w:r>
            <w:r>
              <w:fldChar w:fldCharType="begin"/>
            </w:r>
            <w:r>
              <w:instrText xml:space="preserve"> PAGEREF _Toc256000054 \h </w:instrText>
            </w:r>
            <w:r>
              <w:fldChar w:fldCharType="separate"/>
            </w:r>
            <w:r>
              <w:t>50</w:t>
            </w:r>
            <w:r>
              <w:fldChar w:fldCharType="end"/>
            </w:r>
          </w:hyperlink>
        </w:p>
        <w:p>
          <w:pPr>
            <w:pStyle w:val="TOC1"/>
            <w:tabs>
              <w:tab w:val="left" w:pos="660"/>
              <w:tab w:val="right" w:leader="dot" w:pos="9075"/>
            </w:tabs>
            <w:rPr>
              <w:rFonts w:asciiTheme="minorHAnsi" w:hAnsiTheme="minorHAnsi"/>
              <w:noProof/>
              <w:sz w:val="22"/>
            </w:rPr>
          </w:pPr>
          <w:hyperlink w:anchor="_Toc256000055" w:history="1">
            <w:r>
              <w:rPr>
                <w:rStyle w:val="Hyperlink"/>
              </w:rPr>
              <w:t>14.</w:t>
            </w:r>
            <w:r>
              <w:rPr>
                <w:rFonts w:asciiTheme="minorHAnsi" w:hAnsiTheme="minorHAnsi"/>
                <w:noProof/>
                <w:sz w:val="22"/>
              </w:rPr>
              <w:tab/>
            </w:r>
            <w:r>
              <w:rPr>
                <w:rStyle w:val="Hyperlink"/>
              </w:rPr>
              <w:t>Calculating Ppk and Pp</w:t>
            </w:r>
            <w:r>
              <w:tab/>
            </w:r>
            <w:r>
              <w:fldChar w:fldCharType="begin"/>
            </w:r>
            <w:r>
              <w:instrText xml:space="preserve"> PAGEREF _Toc256000055 \h </w:instrText>
            </w:r>
            <w:r>
              <w:fldChar w:fldCharType="separate"/>
            </w:r>
            <w:r>
              <w:t>51</w:t>
            </w:r>
            <w:r>
              <w:fldChar w:fldCharType="end"/>
            </w:r>
          </w:hyperlink>
        </w:p>
        <w:p>
          <w:pPr>
            <w:pStyle w:val="TOC1"/>
            <w:tabs>
              <w:tab w:val="left" w:pos="660"/>
              <w:tab w:val="right" w:leader="dot" w:pos="9075"/>
            </w:tabs>
            <w:rPr>
              <w:rFonts w:asciiTheme="minorHAnsi" w:hAnsiTheme="minorHAnsi"/>
              <w:noProof/>
              <w:sz w:val="22"/>
            </w:rPr>
          </w:pPr>
          <w:hyperlink w:anchor="_Toc256000056" w:history="1">
            <w:r>
              <w:rPr>
                <w:rStyle w:val="Hyperlink"/>
              </w:rPr>
              <w:t>15.</w:t>
            </w:r>
            <w:r>
              <w:rPr>
                <w:rFonts w:asciiTheme="minorHAnsi" w:hAnsiTheme="minorHAnsi"/>
                <w:noProof/>
                <w:sz w:val="22"/>
              </w:rPr>
              <w:tab/>
            </w:r>
            <w:r>
              <w:rPr>
                <w:rStyle w:val="Hyperlink"/>
              </w:rPr>
              <w:t>Manual Processes</w:t>
            </w:r>
            <w:r>
              <w:tab/>
            </w:r>
            <w:r>
              <w:fldChar w:fldCharType="begin"/>
            </w:r>
            <w:r>
              <w:instrText xml:space="preserve"> PAGEREF _Toc256000056 \h </w:instrText>
            </w:r>
            <w:r>
              <w:fldChar w:fldCharType="separate"/>
            </w:r>
            <w:r>
              <w:t>53</w:t>
            </w:r>
            <w:r>
              <w:fldChar w:fldCharType="end"/>
            </w:r>
          </w:hyperlink>
        </w:p>
        <w:p>
          <w:pPr>
            <w:pStyle w:val="TOC2"/>
            <w:tabs>
              <w:tab w:val="left" w:pos="880"/>
              <w:tab w:val="right" w:leader="dot" w:pos="9075"/>
            </w:tabs>
            <w:rPr>
              <w:rFonts w:asciiTheme="minorHAnsi" w:hAnsiTheme="minorHAnsi"/>
              <w:noProof/>
              <w:sz w:val="22"/>
            </w:rPr>
          </w:pPr>
          <w:hyperlink w:anchor="_Toc256000057" w:history="1">
            <w:r>
              <w:rPr>
                <w:rStyle w:val="Hyperlink"/>
              </w:rPr>
              <w:t>15.1</w:t>
            </w:r>
            <w:r>
              <w:rPr>
                <w:rFonts w:asciiTheme="minorHAnsi" w:hAnsiTheme="minorHAnsi"/>
                <w:noProof/>
                <w:sz w:val="22"/>
              </w:rPr>
              <w:tab/>
            </w:r>
            <w:r>
              <w:rPr>
                <w:rStyle w:val="Hyperlink"/>
              </w:rPr>
              <w:t>Establishing Repeatable Manual Processes</w:t>
            </w:r>
            <w:r>
              <w:tab/>
            </w:r>
            <w:r>
              <w:fldChar w:fldCharType="begin"/>
            </w:r>
            <w:r>
              <w:instrText xml:space="preserve"> PAGEREF _Toc256000057 \h </w:instrText>
            </w:r>
            <w:r>
              <w:fldChar w:fldCharType="separate"/>
            </w:r>
            <w:r>
              <w:t>53</w:t>
            </w:r>
            <w:r>
              <w:fldChar w:fldCharType="end"/>
            </w:r>
          </w:hyperlink>
        </w:p>
        <w:p>
          <w:pPr>
            <w:pStyle w:val="TOC1"/>
            <w:tabs>
              <w:tab w:val="left" w:pos="660"/>
              <w:tab w:val="right" w:leader="dot" w:pos="9075"/>
            </w:tabs>
            <w:rPr>
              <w:rFonts w:asciiTheme="minorHAnsi" w:hAnsiTheme="minorHAnsi"/>
              <w:noProof/>
              <w:sz w:val="22"/>
            </w:rPr>
          </w:pPr>
          <w:hyperlink w:anchor="_Toc256000058" w:history="1">
            <w:r>
              <w:rPr>
                <w:rStyle w:val="Hyperlink"/>
              </w:rPr>
              <w:t>16.</w:t>
            </w:r>
            <w:r>
              <w:rPr>
                <w:rFonts w:asciiTheme="minorHAnsi" w:hAnsiTheme="minorHAnsi"/>
                <w:noProof/>
                <w:sz w:val="22"/>
              </w:rPr>
              <w:tab/>
            </w:r>
            <w:r>
              <w:rPr>
                <w:rStyle w:val="Hyperlink"/>
              </w:rPr>
              <w:t>Revalidation</w:t>
            </w:r>
            <w:r>
              <w:tab/>
            </w:r>
            <w:r>
              <w:fldChar w:fldCharType="begin"/>
            </w:r>
            <w:r>
              <w:instrText xml:space="preserve"> PAGEREF _Toc256000058 \h </w:instrText>
            </w:r>
            <w:r>
              <w:fldChar w:fldCharType="separate"/>
            </w:r>
            <w:r>
              <w:t>53</w:t>
            </w:r>
            <w:r>
              <w:fldChar w:fldCharType="end"/>
            </w:r>
          </w:hyperlink>
        </w:p>
        <w:p>
          <w:pPr>
            <w:pStyle w:val="TOC1"/>
            <w:tabs>
              <w:tab w:val="left" w:pos="660"/>
              <w:tab w:val="right" w:leader="dot" w:pos="9075"/>
            </w:tabs>
            <w:rPr>
              <w:rFonts w:asciiTheme="minorHAnsi" w:hAnsiTheme="minorHAnsi"/>
              <w:noProof/>
              <w:sz w:val="22"/>
            </w:rPr>
          </w:pPr>
          <w:hyperlink w:anchor="_Toc256000059" w:history="1">
            <w:r>
              <w:rPr>
                <w:rStyle w:val="Hyperlink"/>
              </w:rPr>
              <w:t>17.</w:t>
            </w:r>
            <w:r>
              <w:rPr>
                <w:rFonts w:asciiTheme="minorHAnsi" w:hAnsiTheme="minorHAnsi"/>
                <w:noProof/>
                <w:sz w:val="22"/>
              </w:rPr>
              <w:tab/>
            </w:r>
            <w:r>
              <w:rPr>
                <w:rStyle w:val="Hyperlink"/>
              </w:rPr>
              <w:t>Decision Flow Chart</w:t>
            </w:r>
            <w:r>
              <w:tab/>
            </w:r>
            <w:r>
              <w:fldChar w:fldCharType="begin"/>
            </w:r>
            <w:r>
              <w:instrText xml:space="preserve"> PAGEREF _Toc256000059 \h </w:instrText>
            </w:r>
            <w:r>
              <w:fldChar w:fldCharType="separate"/>
            </w:r>
            <w:r>
              <w:t>55</w:t>
            </w:r>
            <w:r>
              <w:fldChar w:fldCharType="end"/>
            </w:r>
          </w:hyperlink>
        </w:p>
        <w:p>
          <w:pPr>
            <w:pStyle w:val="TOC1"/>
            <w:tabs>
              <w:tab w:val="left" w:pos="660"/>
              <w:tab w:val="right" w:leader="dot" w:pos="9075"/>
            </w:tabs>
            <w:rPr>
              <w:rFonts w:asciiTheme="minorHAnsi" w:hAnsiTheme="minorHAnsi"/>
              <w:noProof/>
              <w:sz w:val="22"/>
            </w:rPr>
          </w:pPr>
          <w:hyperlink w:anchor="_Toc256000060" w:history="1">
            <w:r>
              <w:rPr>
                <w:rStyle w:val="Hyperlink"/>
              </w:rPr>
              <w:t>18.</w:t>
            </w:r>
            <w:r>
              <w:rPr>
                <w:rFonts w:asciiTheme="minorHAnsi" w:hAnsiTheme="minorHAnsi"/>
                <w:noProof/>
                <w:sz w:val="22"/>
              </w:rPr>
              <w:tab/>
            </w:r>
            <w:r>
              <w:rPr>
                <w:rStyle w:val="Hyperlink"/>
              </w:rPr>
              <w:t>References</w:t>
            </w:r>
            <w:r>
              <w:tab/>
            </w:r>
            <w:r>
              <w:fldChar w:fldCharType="begin"/>
            </w:r>
            <w:r>
              <w:instrText xml:space="preserve"> PAGEREF _Toc256000060 \h </w:instrText>
            </w:r>
            <w:r>
              <w:fldChar w:fldCharType="separate"/>
            </w:r>
            <w:r>
              <w:t>56</w:t>
            </w:r>
            <w:r>
              <w:fldChar w:fldCharType="end"/>
            </w:r>
          </w:hyperlink>
        </w:p>
        <w:p>
          <w:pPr>
            <w:pStyle w:val="TOC1"/>
            <w:tabs>
              <w:tab w:val="left" w:pos="660"/>
              <w:tab w:val="right" w:leader="dot" w:pos="9075"/>
            </w:tabs>
            <w:rPr>
              <w:rFonts w:asciiTheme="minorHAnsi" w:hAnsiTheme="minorHAnsi"/>
              <w:noProof/>
              <w:sz w:val="22"/>
            </w:rPr>
          </w:pPr>
          <w:hyperlink w:anchor="_Toc256000061" w:history="1">
            <w:r>
              <w:rPr>
                <w:rStyle w:val="Hyperlink"/>
              </w:rPr>
              <w:t>19.</w:t>
            </w:r>
            <w:r>
              <w:rPr>
                <w:rFonts w:asciiTheme="minorHAnsi" w:hAnsiTheme="minorHAnsi"/>
                <w:noProof/>
                <w:sz w:val="22"/>
              </w:rPr>
              <w:tab/>
            </w:r>
            <w:r>
              <w:rPr>
                <w:rStyle w:val="Hyperlink"/>
              </w:rPr>
              <w:t>Appendix, Rationale for Sampling Plan Approach</w:t>
            </w:r>
            <w:r>
              <w:tab/>
            </w:r>
            <w:r>
              <w:fldChar w:fldCharType="begin"/>
            </w:r>
            <w:r>
              <w:instrText xml:space="preserve"> PAGEREF _Toc256000061 \h </w:instrText>
            </w:r>
            <w:r>
              <w:fldChar w:fldCharType="separate"/>
            </w:r>
            <w:r>
              <w:t>57</w:t>
            </w:r>
            <w:r>
              <w:fldChar w:fldCharType="end"/>
            </w:r>
          </w:hyperlink>
        </w:p>
        <w:p>
          <w:pPr>
            <w:pStyle w:val="TOC2"/>
            <w:tabs>
              <w:tab w:val="left" w:pos="880"/>
              <w:tab w:val="right" w:leader="dot" w:pos="9075"/>
            </w:tabs>
            <w:rPr>
              <w:rFonts w:asciiTheme="minorHAnsi" w:hAnsiTheme="minorHAnsi"/>
              <w:noProof/>
              <w:sz w:val="22"/>
            </w:rPr>
          </w:pPr>
          <w:hyperlink w:anchor="_Toc256000062" w:history="1">
            <w:r>
              <w:rPr>
                <w:rStyle w:val="Hyperlink"/>
              </w:rPr>
              <w:t>19.1</w:t>
            </w:r>
            <w:r>
              <w:rPr>
                <w:rFonts w:asciiTheme="minorHAnsi" w:hAnsiTheme="minorHAnsi"/>
                <w:noProof/>
                <w:sz w:val="22"/>
              </w:rPr>
              <w:tab/>
            </w:r>
            <w:r>
              <w:rPr>
                <w:rStyle w:val="Hyperlink"/>
              </w:rPr>
              <w:t>Approach to Attribute Single Sampling Plans</w:t>
            </w:r>
            <w:r>
              <w:tab/>
            </w:r>
            <w:r>
              <w:fldChar w:fldCharType="begin"/>
            </w:r>
            <w:r>
              <w:instrText xml:space="preserve"> PAGEREF _Toc256000062 \h </w:instrText>
            </w:r>
            <w:r>
              <w:fldChar w:fldCharType="separate"/>
            </w:r>
            <w:r>
              <w:t>57</w:t>
            </w:r>
            <w:r>
              <w:fldChar w:fldCharType="end"/>
            </w:r>
          </w:hyperlink>
        </w:p>
        <w:p>
          <w:pPr>
            <w:pStyle w:val="TOC2"/>
            <w:tabs>
              <w:tab w:val="left" w:pos="880"/>
              <w:tab w:val="right" w:leader="dot" w:pos="9075"/>
            </w:tabs>
            <w:rPr>
              <w:rFonts w:asciiTheme="minorHAnsi" w:hAnsiTheme="minorHAnsi"/>
              <w:noProof/>
              <w:sz w:val="22"/>
            </w:rPr>
          </w:pPr>
          <w:hyperlink w:anchor="_Toc256000063" w:history="1">
            <w:r>
              <w:rPr>
                <w:rStyle w:val="Hyperlink"/>
              </w:rPr>
              <w:t>19.2</w:t>
            </w:r>
            <w:r>
              <w:rPr>
                <w:rFonts w:asciiTheme="minorHAnsi" w:hAnsiTheme="minorHAnsi"/>
                <w:noProof/>
                <w:sz w:val="22"/>
              </w:rPr>
              <w:tab/>
            </w:r>
            <w:r>
              <w:rPr>
                <w:rStyle w:val="Hyperlink"/>
              </w:rPr>
              <w:t>Approach for Variable Sampling Plans</w:t>
            </w:r>
            <w:r>
              <w:tab/>
            </w:r>
            <w:r>
              <w:fldChar w:fldCharType="begin"/>
            </w:r>
            <w:r>
              <w:instrText xml:space="preserve"> PAGEREF _Toc256000063 \h </w:instrText>
            </w:r>
            <w:r>
              <w:fldChar w:fldCharType="separate"/>
            </w:r>
            <w:r>
              <w:t>58</w:t>
            </w:r>
            <w:r>
              <w:fldChar w:fldCharType="end"/>
            </w:r>
          </w:hyperlink>
        </w:p>
        <w:p>
          <w:pPr>
            <w:pStyle w:val="TOC2"/>
            <w:tabs>
              <w:tab w:val="left" w:pos="880"/>
              <w:tab w:val="right" w:leader="dot" w:pos="9075"/>
            </w:tabs>
            <w:rPr>
              <w:rFonts w:asciiTheme="minorHAnsi" w:hAnsiTheme="minorHAnsi"/>
              <w:noProof/>
              <w:sz w:val="22"/>
            </w:rPr>
          </w:pPr>
          <w:hyperlink w:anchor="_Toc256000064" w:history="1">
            <w:r>
              <w:rPr>
                <w:rStyle w:val="Hyperlink"/>
                <w:lang w:val="nl-NL"/>
              </w:rPr>
              <w:t>19.3</w:t>
            </w:r>
            <w:r>
              <w:rPr>
                <w:rFonts w:asciiTheme="minorHAnsi" w:hAnsiTheme="minorHAnsi"/>
                <w:noProof/>
                <w:sz w:val="22"/>
                <w:lang w:val="nl-NL"/>
              </w:rPr>
              <w:tab/>
            </w:r>
            <w:r w:rsidRPr="004E0479">
              <w:rPr>
                <w:rStyle w:val="Hyperlink"/>
                <w:lang w:val="nl-NL"/>
              </w:rPr>
              <w:t>Pp/</w:t>
            </w:r>
            <w:r w:rsidRPr="004E0479">
              <w:rPr>
                <w:rStyle w:val="Hyperlink"/>
                <w:lang w:val="nl-NL"/>
              </w:rPr>
              <w:t>Ppk</w:t>
            </w:r>
            <w:r w:rsidRPr="004E0479">
              <w:rPr>
                <w:rStyle w:val="Hyperlink"/>
                <w:lang w:val="nl-NL"/>
              </w:rPr>
              <w:t xml:space="preserve"> versus </w:t>
            </w:r>
            <w:r w:rsidRPr="004E0479">
              <w:rPr>
                <w:rStyle w:val="Hyperlink"/>
                <w:lang w:val="nl-NL"/>
              </w:rPr>
              <w:t>Cp</w:t>
            </w:r>
            <w:r w:rsidRPr="004E0479">
              <w:rPr>
                <w:rStyle w:val="Hyperlink"/>
                <w:lang w:val="nl-NL"/>
              </w:rPr>
              <w:t>/</w:t>
            </w:r>
            <w:r w:rsidRPr="004E0479">
              <w:rPr>
                <w:rStyle w:val="Hyperlink"/>
                <w:lang w:val="nl-NL"/>
              </w:rPr>
              <w:t>Cpk</w:t>
            </w:r>
            <w:r>
              <w:tab/>
            </w:r>
            <w:r>
              <w:fldChar w:fldCharType="begin"/>
            </w:r>
            <w:r>
              <w:instrText xml:space="preserve"> PAGEREF _Toc256000064 \h </w:instrText>
            </w:r>
            <w:r>
              <w:fldChar w:fldCharType="separate"/>
            </w:r>
            <w:r>
              <w:t>63</w:t>
            </w:r>
            <w:r>
              <w:fldChar w:fldCharType="end"/>
            </w:r>
          </w:hyperlink>
        </w:p>
        <w:p w:rsidR="0042335A">
          <w:r>
            <w:fldChar w:fldCharType="end"/>
          </w:r>
        </w:p>
      </w:sdtContent>
    </w:sdt>
    <w:p w:rsidR="00190E19" w:rsidP="00190E19" w14:paraId="045A3BB2" w14:textId="77777777">
      <w:pPr>
        <w:rPr>
          <w:rFonts w:ascii="Calibri" w:hAnsi="Calibri" w:cs="Arial"/>
          <w:color w:val="4F81BD"/>
          <w:szCs w:val="22"/>
        </w:rPr>
      </w:pPr>
    </w:p>
    <w:p w:rsidR="00E40D1F" w:rsidP="00190E19" w14:paraId="5F04AA63" w14:textId="0CF735D7">
      <w:pPr>
        <w:rPr>
          <w:rFonts w:ascii="Calibri" w:hAnsi="Calibri" w:cs="Arial"/>
          <w:color w:val="4F81BD"/>
          <w:szCs w:val="22"/>
        </w:rPr>
      </w:pPr>
      <w:r>
        <w:rPr>
          <w:rFonts w:ascii="Calibri" w:hAnsi="Calibri" w:cs="Arial"/>
          <w:color w:val="4F81BD"/>
          <w:szCs w:val="22"/>
        </w:rPr>
        <w:br w:type="page"/>
      </w:r>
    </w:p>
    <w:p w:rsidR="00190E19" w:rsidRPr="00EC4C77" w:rsidP="00A61F37" w14:paraId="14B0C0E8" w14:textId="77777777">
      <w:pPr>
        <w:pStyle w:val="Heading1"/>
      </w:pPr>
      <w:bookmarkStart w:id="1" w:name="_Toc256000000"/>
      <w:r w:rsidRPr="00EC4C77">
        <w:t>Purpose</w:t>
      </w:r>
      <w:bookmarkEnd w:id="1"/>
    </w:p>
    <w:p w:rsidR="00190E19" w:rsidRPr="00E06373" w:rsidP="00E06373" w14:paraId="052E2CEB" w14:textId="78B00ED7">
      <w:pPr>
        <w:rPr>
          <w:color w:val="000000" w:themeColor="text1"/>
        </w:rPr>
      </w:pPr>
      <w:r w:rsidRPr="008F2106">
        <w:rPr>
          <w:color w:val="000000" w:themeColor="text1"/>
        </w:rPr>
        <w:t>This guideline is in close alignment with GHTF/SG3/N99-10:2004 Ed2, Quality Management Systems</w:t>
      </w:r>
      <w:r w:rsidRPr="008F2106" w:rsidR="00F54C7D">
        <w:rPr>
          <w:color w:val="000000" w:themeColor="text1"/>
        </w:rPr>
        <w:t xml:space="preserve"> </w:t>
      </w:r>
      <w:r w:rsidRPr="008F2106">
        <w:rPr>
          <w:color w:val="000000" w:themeColor="text1"/>
        </w:rPr>
        <w:t>Process Validation Guidance.</w:t>
      </w:r>
    </w:p>
    <w:p w:rsidR="00190E19" w:rsidRPr="008F2106" w:rsidP="00A61F37" w14:paraId="577DE0C7" w14:textId="77777777">
      <w:pPr>
        <w:pStyle w:val="Heading1"/>
      </w:pPr>
      <w:bookmarkStart w:id="2" w:name="_Toc256000001"/>
      <w:r w:rsidRPr="008F2106">
        <w:t>Scope</w:t>
      </w:r>
      <w:bookmarkEnd w:id="2"/>
    </w:p>
    <w:p w:rsidR="00190E19" w:rsidRPr="00E06373" w:rsidP="00E06373" w14:paraId="0FBC811D" w14:textId="22AE326D">
      <w:r w:rsidRPr="008F2106">
        <w:t>This guideline applies to external suppliers and supports the Philips APQP process. Refer to the local QMS for internal process validation procedures. This guideline provides minimum requirements to suppliers when performing process validation for Philips’s parts</w:t>
      </w:r>
      <w:r w:rsidR="00391544">
        <w:t xml:space="preserve">, </w:t>
      </w:r>
      <w:r w:rsidR="00F16153">
        <w:t>sub-assemblies, and products</w:t>
      </w:r>
      <w:r w:rsidRPr="008F2106">
        <w:t xml:space="preserve">. Suppliers should follow their own quality management system to execute process validation, however, when there is misalignment with this guideline, justification and approval from Philips is required prior to process validation protocol execution. Additionally, if a supplier were to choose to use a lower reliability sampling plan in production, written approval must be provided by a Philips Quality </w:t>
      </w:r>
      <w:r w:rsidR="00345027">
        <w:t>Engineering.</w:t>
      </w:r>
      <w:r w:rsidRPr="008F2106">
        <w:t xml:space="preserve"> </w:t>
      </w:r>
    </w:p>
    <w:p w:rsidR="00190E19" w:rsidRPr="008F2106" w:rsidP="00A61F37" w14:paraId="4DB1E56A" w14:textId="75F64E19">
      <w:pPr>
        <w:pStyle w:val="Heading1"/>
      </w:pPr>
      <w:bookmarkStart w:id="3" w:name="_Toc256000002"/>
      <w:r w:rsidRPr="008F2106">
        <w:t>Process Validation Overview</w:t>
      </w:r>
      <w:bookmarkEnd w:id="3"/>
      <w:r w:rsidRPr="008F2106">
        <w:t xml:space="preserve"> </w:t>
      </w:r>
    </w:p>
    <w:p w:rsidR="00B93348" w:rsidRPr="008F2106" w:rsidP="00433688" w14:paraId="5319F7F1" w14:textId="7FB891F7">
      <w:r w:rsidRPr="008F2106">
        <w:t xml:space="preserve">International regulations and standards (ISO 13485) require that manufacturing processes for medical devices are validated when one or more process outputs cannot or are not fully verified by subsequent inspection or test during commercial manufacturing. The term ‘device’ applies to components/parts, subassemblies, and finished </w:t>
      </w:r>
      <w:r w:rsidR="00AF0E87">
        <w:t>products and systems</w:t>
      </w:r>
      <w:r w:rsidRPr="008F2106">
        <w:t>.</w:t>
      </w:r>
    </w:p>
    <w:p w:rsidR="00B93348" w:rsidRPr="008F2106" w:rsidP="00433688" w14:paraId="2649C32D" w14:textId="77777777"/>
    <w:p w:rsidR="00B93348" w:rsidRPr="008F2106" w:rsidP="00433688" w14:paraId="76D15B07" w14:textId="77777777">
      <w:r w:rsidRPr="008F2106">
        <w:t>Process validation consists of demonstrating the ability of processes to consistently achieve planned results (including rework) with a high degree of assurance. This is achieved by demonstrating and documenting control of the critical process parameters (CPPs) and documented verification that all Critical to Quality Attributes (CQA) of the product or process output meet the predetermined acceptance criteria.</w:t>
      </w:r>
    </w:p>
    <w:p w:rsidR="007A1010" w:rsidP="00EE1EA6" w14:paraId="72114F99" w14:textId="1E2D69BA">
      <w:pPr>
        <w:pStyle w:val="Heading2"/>
      </w:pPr>
      <w:bookmarkStart w:id="4" w:name="_Toc256000003"/>
      <w:r>
        <w:t>Process Validation Elements</w:t>
      </w:r>
      <w:bookmarkEnd w:id="4"/>
    </w:p>
    <w:p w:rsidR="00B93348" w:rsidRPr="008F2106" w:rsidP="00433688" w14:paraId="442E050C" w14:textId="6B09CD2E">
      <w:r w:rsidRPr="008F2106">
        <w:t>Process validation consists of the following activities:</w:t>
      </w:r>
    </w:p>
    <w:p w:rsidR="009437E0" w:rsidRPr="00837D3D" w:rsidP="00837D3D" w14:paraId="18093BBD" w14:textId="5AA4A964">
      <w:pPr>
        <w:pStyle w:val="Heading3"/>
      </w:pPr>
      <w:r w:rsidRPr="00837D3D">
        <w:rPr>
          <w:b/>
          <w:bCs/>
        </w:rPr>
        <w:t>Installation Qualification (IQ):</w:t>
      </w:r>
      <w:r w:rsidRPr="00837D3D">
        <w:t xml:space="preserve"> All equipment used in the manufacturing and testing of medical parts, elements, and products are qualified. Installation Qualification (IQ) is required to provide objective evidence that the equipment has been installed per the manufacturer’s recommendations and performs as intended.</w:t>
      </w:r>
    </w:p>
    <w:p w:rsidR="009437E0" w:rsidRPr="008F2106" w:rsidP="00837D3D" w14:paraId="35457669" w14:textId="44F3456E">
      <w:pPr>
        <w:pStyle w:val="Heading3"/>
      </w:pPr>
      <w:r w:rsidRPr="00CA0E56">
        <w:rPr>
          <w:b/>
          <w:bCs/>
        </w:rPr>
        <w:t>Test Method Validation (TMV):</w:t>
      </w:r>
      <w:r w:rsidRPr="008F2106">
        <w:t xml:space="preserve"> Test Method Validation (TMV) is required for the full verification of CQAs in production and for test methods used during process characterization, OQ, and PQ.</w:t>
      </w:r>
    </w:p>
    <w:p w:rsidR="009437E0" w:rsidRPr="008F2106" w:rsidP="00837D3D" w14:paraId="44DC6F30" w14:textId="4BF4DF50">
      <w:pPr>
        <w:pStyle w:val="Heading3"/>
      </w:pPr>
      <w:r w:rsidRPr="00CA0E56">
        <w:rPr>
          <w:b/>
          <w:bCs/>
        </w:rPr>
        <w:t>Operational Qualification (OQ):</w:t>
      </w:r>
      <w:r w:rsidRPr="008F2106">
        <w:t xml:space="preserve"> The purpose of the Operational Qualification (OQ) is to establish by objective evidence that the process control limits and action levels within which a product is produced meet predetermined requirements.</w:t>
      </w:r>
    </w:p>
    <w:p w:rsidR="009437E0" w:rsidRPr="008F2106" w:rsidP="00837D3D" w14:paraId="57A2647F" w14:textId="77777777">
      <w:pPr>
        <w:pStyle w:val="Heading4"/>
      </w:pPr>
      <w:r w:rsidRPr="00795648">
        <w:rPr>
          <w:b/>
          <w:bCs/>
        </w:rPr>
        <w:t>Bracketing:</w:t>
      </w:r>
      <w:r w:rsidRPr="008F2106">
        <w:t xml:space="preserve"> If several products within a product family can be documented within the protocol to be equivalent through an engineering rationale (e.g. extruded tubes of equal ID and OD but varying lengths), a process OQ can be executed to qualify a process using a product representative of the family. If such equivalency cannot be established, then an OQ must be run for each product being validated.</w:t>
      </w:r>
    </w:p>
    <w:p w:rsidR="009437E0" w:rsidRPr="008F2106" w:rsidP="00837D3D" w14:paraId="0BF630BC" w14:textId="77777777">
      <w:pPr>
        <w:pStyle w:val="Heading4"/>
      </w:pPr>
      <w:r w:rsidRPr="00795648">
        <w:rPr>
          <w:b/>
          <w:bCs/>
        </w:rPr>
        <w:t>For manual processes</w:t>
      </w:r>
      <w:r w:rsidRPr="008F2106">
        <w:t xml:space="preserve">, with no parameter adjustments, an OQ may not be required. Fully automated processes where all CPPs are fixed (no operating range) the OQ may not be required. In that case Performance Qualification will satisfy the </w:t>
      </w:r>
      <w:r w:rsidRPr="008F2106">
        <w:t xml:space="preserve">validation requirements since all CPP’s are fixed and the natural process variation is captured in the PQ. </w:t>
      </w:r>
    </w:p>
    <w:p w:rsidR="009437E0" w:rsidRPr="008F2106" w:rsidP="00837D3D" w14:paraId="7EB8528B" w14:textId="25895945">
      <w:pPr>
        <w:pStyle w:val="Heading3"/>
      </w:pPr>
      <w:r w:rsidRPr="00CA0E56">
        <w:rPr>
          <w:b/>
          <w:bCs/>
        </w:rPr>
        <w:t>Performance Qualification (PQ):</w:t>
      </w:r>
      <w:r w:rsidRPr="008F2106">
        <w:t xml:space="preserve"> The purpose of Performance Qualification (PQ) is to establish by objective evidence that the process, under anticipated conditions, consistently produces a product which meets predetermined requirements.</w:t>
      </w:r>
    </w:p>
    <w:p w:rsidR="006270A0" w:rsidRPr="008F2106" w:rsidP="00837D3D" w14:paraId="0C793CC9" w14:textId="3258D331">
      <w:pPr>
        <w:pStyle w:val="Heading4"/>
      </w:pPr>
      <w:r w:rsidRPr="00F81F28">
        <w:rPr>
          <w:b/>
          <w:bCs/>
        </w:rPr>
        <w:t>Environmental conditions</w:t>
      </w:r>
      <w:r w:rsidRPr="008F2106">
        <w:t xml:space="preserve"> (temperature, relative humidity), variation between duplicate equipment, variations in (received) material and components lots, varying operator skill, etc. should be considered in the planning of the validation.</w:t>
      </w:r>
    </w:p>
    <w:p w:rsidR="009437E0" w:rsidRPr="008F2106" w:rsidP="00837D3D" w14:paraId="3A57AB5D" w14:textId="77777777">
      <w:pPr>
        <w:pStyle w:val="Heading4"/>
      </w:pPr>
      <w:r w:rsidRPr="00795648">
        <w:rPr>
          <w:b/>
          <w:bCs/>
        </w:rPr>
        <w:t>The number of PQ runs</w:t>
      </w:r>
      <w:r w:rsidRPr="008F2106">
        <w:t>, and lot sizes chosen must be based on statistically documented rationale to achieve the specified level of confidence. The lots must yield acceptable results in consecutive, successful validation runs.</w:t>
      </w:r>
    </w:p>
    <w:p w:rsidR="009437E0" w:rsidRPr="008F2106" w:rsidP="00837D3D" w14:paraId="5055F1D7" w14:textId="77777777">
      <w:pPr>
        <w:pStyle w:val="Heading4"/>
      </w:pPr>
      <w:r w:rsidRPr="00795648">
        <w:rPr>
          <w:b/>
          <w:bCs/>
        </w:rPr>
        <w:t>Bracketing:</w:t>
      </w:r>
      <w:r w:rsidRPr="008F2106">
        <w:t xml:space="preserve"> If several products within a product family can be documented within the protocol to be equivalent through an engineering rationale (e.g. extruded tubes of equal ID and OD but varying lengths), a process PQ can be executed to qualify a process using a product representative of the family and/or by running the product through all the standard operations as a process flow. If such equivalency cannot be established, then a PQ must be run for every product. When the validated product family is extended, the original protocol is updated with the extended product, and a rationale for inclusion of the new product into the validated family is provided in the protocol.</w:t>
      </w:r>
    </w:p>
    <w:p w:rsidR="009437E0" w:rsidRPr="008F2106" w:rsidP="00837D3D" w14:paraId="0C2BB248" w14:textId="1E5849C3">
      <w:pPr>
        <w:pStyle w:val="Heading3"/>
      </w:pPr>
      <w:r w:rsidRPr="008F2106">
        <w:t>F</w:t>
      </w:r>
      <w:r w:rsidRPr="008F2106">
        <w:t>igure 1 depicts an example of the equipment’s operating range that is qualified during IQ, the process window that is developed and challenged in OQ for a specific process, and the typical operating range during PQ and normal manufacturing.</w:t>
      </w:r>
    </w:p>
    <w:p w:rsidR="00177CA7" w:rsidRPr="008F2106" w:rsidP="008F069A" w14:paraId="1B2A340B" w14:textId="77777777">
      <w:pPr>
        <w:pStyle w:val="ListParagraph"/>
        <w:keepNext/>
        <w:numPr>
          <w:ilvl w:val="0"/>
          <w:numId w:val="0"/>
        </w:numPr>
        <w:ind w:left="720"/>
        <w:contextualSpacing w:val="0"/>
      </w:pPr>
      <w:r w:rsidRPr="008F2106">
        <w:rPr>
          <w:noProof/>
          <w14:ligatures w14:val="standardContextual"/>
        </w:rPr>
        <w:drawing>
          <wp:inline distT="0" distB="0" distL="0" distR="0">
            <wp:extent cx="2906973" cy="1824460"/>
            <wp:effectExtent l="0" t="0" r="8255" b="4445"/>
            <wp:docPr id="591527835" name="Picture 1" descr="A yellow square with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27835" name="Picture 1" descr="A yellow square with green squares&#10;&#10;Description automatically generated"/>
                    <pic:cNvPicPr/>
                  </pic:nvPicPr>
                  <pic:blipFill>
                    <a:blip xmlns:r="http://schemas.openxmlformats.org/officeDocument/2006/relationships" r:embed="rId12"/>
                    <a:stretch>
                      <a:fillRect/>
                    </a:stretch>
                  </pic:blipFill>
                  <pic:spPr>
                    <a:xfrm>
                      <a:off x="0" y="0"/>
                      <a:ext cx="2919502" cy="1832324"/>
                    </a:xfrm>
                    <a:prstGeom prst="rect">
                      <a:avLst/>
                    </a:prstGeom>
                  </pic:spPr>
                </pic:pic>
              </a:graphicData>
            </a:graphic>
          </wp:inline>
        </w:drawing>
      </w:r>
    </w:p>
    <w:p w:rsidR="009437E0" w:rsidP="000F296F" w14:paraId="03631A39" w14:textId="2F8EEBDC">
      <w:pPr>
        <w:pStyle w:val="Caption"/>
        <w:ind w:left="720"/>
      </w:pPr>
      <w:r w:rsidRPr="008F2106">
        <w:t xml:space="preserve">Figure </w:t>
      </w:r>
      <w:r w:rsidRPr="008F2106">
        <w:fldChar w:fldCharType="begin"/>
      </w:r>
      <w:r w:rsidRPr="008F2106">
        <w:instrText xml:space="preserve"> SEQ Figuur \* ARABIC </w:instrText>
      </w:r>
      <w:r w:rsidRPr="008F2106">
        <w:fldChar w:fldCharType="separate"/>
      </w:r>
      <w:r w:rsidRPr="008F2106">
        <w:t>1</w:t>
      </w:r>
      <w:r w:rsidRPr="008F2106">
        <w:fldChar w:fldCharType="end"/>
      </w:r>
      <w:r w:rsidRPr="008F2106">
        <w:t>: Typical Equipment Range</w:t>
      </w:r>
    </w:p>
    <w:p w:rsidR="009437E0" w:rsidRPr="008F2106" w:rsidP="0041525C" w14:paraId="53933AA4" w14:textId="70BD4B99">
      <w:pPr>
        <w:pStyle w:val="ListParagraph"/>
        <w:numPr>
          <w:ilvl w:val="0"/>
          <w:numId w:val="0"/>
        </w:numPr>
        <w:spacing w:after="120"/>
        <w:ind w:left="720"/>
        <w:contextualSpacing w:val="0"/>
      </w:pPr>
      <w:r w:rsidRPr="008F2106">
        <w:t>T</w:t>
      </w:r>
      <w:r w:rsidRPr="008F2106">
        <w:t xml:space="preserve">ypical </w:t>
      </w:r>
      <w:r w:rsidRPr="008F2106">
        <w:t xml:space="preserve">flow </w:t>
      </w:r>
      <w:r w:rsidRPr="008F2106">
        <w:t>of a process validation project.</w:t>
      </w:r>
    </w:p>
    <w:p w:rsidR="00177CA7" w:rsidRPr="008F2106" w:rsidP="000F296F" w14:paraId="7E68382B" w14:textId="77777777">
      <w:pPr>
        <w:keepNext/>
        <w:ind w:left="360" w:firstLine="360"/>
      </w:pPr>
      <w:r w:rsidRPr="008F2106">
        <w:rPr>
          <w:noProof/>
        </w:rPr>
        <w:drawing>
          <wp:inline distT="0" distB="0" distL="0" distR="0">
            <wp:extent cx="4823612" cy="1670743"/>
            <wp:effectExtent l="19050" t="19050" r="15240" b="24765"/>
            <wp:docPr id="1789466925"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466925" name="Picture 1" descr="A diagram of a process&#10;&#10;Description automatically generated"/>
                    <pic:cNvPicPr/>
                  </pic:nvPicPr>
                  <pic:blipFill>
                    <a:blip xmlns:r="http://schemas.openxmlformats.org/officeDocument/2006/relationships" r:embed="rId13"/>
                    <a:stretch>
                      <a:fillRect/>
                    </a:stretch>
                  </pic:blipFill>
                  <pic:spPr>
                    <a:xfrm>
                      <a:off x="0" y="0"/>
                      <a:ext cx="4839749" cy="1676332"/>
                    </a:xfrm>
                    <a:prstGeom prst="rect">
                      <a:avLst/>
                    </a:prstGeom>
                    <a:ln w="12700">
                      <a:solidFill>
                        <a:schemeClr val="accent1"/>
                      </a:solidFill>
                    </a:ln>
                  </pic:spPr>
                </pic:pic>
              </a:graphicData>
            </a:graphic>
          </wp:inline>
        </w:drawing>
      </w:r>
    </w:p>
    <w:p w:rsidR="009437E0" w:rsidRPr="008F2106" w:rsidP="000F296F" w14:paraId="523D7D78" w14:textId="4CEFAE57">
      <w:pPr>
        <w:pStyle w:val="Caption"/>
        <w:ind w:left="720"/>
      </w:pPr>
      <w:r w:rsidRPr="008F2106">
        <w:t>Figur</w:t>
      </w:r>
      <w:r w:rsidRPr="008F2106" w:rsidR="00D33CEA">
        <w:t>e</w:t>
      </w:r>
      <w:r w:rsidRPr="008F2106">
        <w:t xml:space="preserve"> </w:t>
      </w:r>
      <w:r w:rsidRPr="008F2106">
        <w:fldChar w:fldCharType="begin"/>
      </w:r>
      <w:r w:rsidRPr="008F2106">
        <w:instrText xml:space="preserve"> SEQ Figuur \* ARABIC </w:instrText>
      </w:r>
      <w:r w:rsidRPr="008F2106">
        <w:fldChar w:fldCharType="separate"/>
      </w:r>
      <w:r w:rsidRPr="008F2106">
        <w:t>2</w:t>
      </w:r>
      <w:r w:rsidRPr="008F2106">
        <w:fldChar w:fldCharType="end"/>
      </w:r>
      <w:r w:rsidRPr="008F2106">
        <w:t>: Process validation flow and steps</w:t>
      </w:r>
    </w:p>
    <w:p w:rsidR="009437E0" w:rsidRPr="008F2106" w:rsidP="00837D3D" w14:paraId="43DDD5BA" w14:textId="047A39C8">
      <w:pPr>
        <w:pStyle w:val="Heading3"/>
      </w:pPr>
      <w:r w:rsidRPr="008F2106">
        <w:t>Additional points to consider for process validation are the use of statistically based sampling plans, establishing a Manufacturing Control Plan (may also be called Quality Control Plan) to describe monitoring and testing activities during commercial manufacturing, documenting revalidation requirements, establishing periodic reviews of validated processes and revalidating as required, and using good documentation practice.</w:t>
      </w:r>
    </w:p>
    <w:p w:rsidR="00A45CDE" w:rsidRPr="00716BA5" w:rsidP="00EE1EA6" w14:paraId="59FC817F" w14:textId="77777777">
      <w:pPr>
        <w:pStyle w:val="Heading2"/>
      </w:pPr>
      <w:bookmarkStart w:id="5" w:name="_Toc256000004"/>
      <w:r w:rsidRPr="00716BA5">
        <w:t>Critical Quality Attributes</w:t>
      </w:r>
      <w:bookmarkEnd w:id="5"/>
      <w:r w:rsidRPr="00716BA5">
        <w:t xml:space="preserve"> </w:t>
      </w:r>
    </w:p>
    <w:p w:rsidR="00DC73A4" w:rsidRPr="008F2106" w:rsidP="00837D3D" w14:paraId="1EF24CA4" w14:textId="5B60323B">
      <w:pPr>
        <w:pStyle w:val="Heading3"/>
      </w:pPr>
      <w:r w:rsidRPr="008F2106">
        <w:t xml:space="preserve">Philips uses a Critical Quality Attribute (CQA) classification scheme to prioritize and communicate the need for applying more stringent control levels to product characteristics with high impact on safety, effectiveness, compliance, attractiveness of the product, or the manufacturing process. </w:t>
      </w:r>
    </w:p>
    <w:p w:rsidR="009E610B" w:rsidRPr="008F2106" w:rsidP="00837D3D" w14:paraId="429A4C22" w14:textId="50D798C1">
      <w:pPr>
        <w:pStyle w:val="Heading3"/>
      </w:pPr>
      <w:r w:rsidRPr="008F2106">
        <w:t>Critical Quality Attributes are either Critical to Safety (CTS), Critical to Quality (CTQ), or Key Process Indicators (KPI). The CQAs must be 100% inspected in routine production unless the process is validated.  After the process is validated, the CQAs are monitored in routine production as documented in the Manufacturing Control Plan.</w:t>
      </w:r>
    </w:p>
    <w:p w:rsidR="00C96BA8" w:rsidRPr="006D3BE3" w:rsidP="00837D3D" w14:paraId="795BE452" w14:textId="09F4EA10">
      <w:pPr>
        <w:pStyle w:val="Heading4"/>
      </w:pPr>
      <w:r w:rsidRPr="006D3BE3">
        <w:t>A characteristic is classified as CTS (Critical to Safety) when failure to meet this requirement or design specification is conceivable and failure could lead to serious harm to the patient, user, property, or the environment.  CTS classification is determined by the Philips Risk Management Team during the development process. Severity of Harm (SOH) rank</w:t>
      </w:r>
      <w:r w:rsidR="00D518D1">
        <w:t>ing is S0, S1, S2, S3, and S4, where S3 and S4 are considered serious.</w:t>
      </w:r>
    </w:p>
    <w:p w:rsidR="00813C07" w:rsidRPr="006D3BE3" w:rsidP="00837D3D" w14:paraId="0605A82A" w14:textId="77777777">
      <w:pPr>
        <w:pStyle w:val="Heading4"/>
      </w:pPr>
      <w:r w:rsidRPr="006D3BE3">
        <w:t xml:space="preserve">A characteristic is classified as CTQ (Critical to Quality) when failure to meet this requirement or design specification is conceivable and failure could lead to a severe negative impact on quality, i.e., effectiveness, compliance, or attractiveness of the product. CTQs are identified in the early design phase and confirmed in the Design FMEA. Severity of Effects (SOE) levels are SEV1, SEV3, SEV5, and SEV8. </w:t>
      </w:r>
    </w:p>
    <w:p w:rsidR="00C96BA8" w:rsidRPr="008F2106" w:rsidP="00837D3D" w14:paraId="71844180" w14:textId="7A6EC197">
      <w:pPr>
        <w:pStyle w:val="Heading4"/>
      </w:pPr>
      <w:r w:rsidRPr="008F2106">
        <w:t>In certain scenarios, a non-CTQ, non-CTS characteristic is classified as a KPI (Key Process Indicator) as explained here:</w:t>
      </w:r>
    </w:p>
    <w:p w:rsidR="00C96BA8" w:rsidRPr="00EE1EA6" w:rsidP="00837D3D" w14:paraId="79D1D152" w14:textId="776B1829">
      <w:pPr>
        <w:pStyle w:val="Normal5Indent"/>
      </w:pPr>
      <w:r w:rsidRPr="00EE1EA6">
        <w:t xml:space="preserve">When a non-CTQ, non-CTS characteristic </w:t>
      </w:r>
      <w:r w:rsidRPr="00EE1EA6" w:rsidR="008231E4">
        <w:t>should be</w:t>
      </w:r>
      <w:r w:rsidRPr="00EE1EA6">
        <w:t xml:space="preserve"> inspected in routine production using a primary test method, the characteristic </w:t>
      </w:r>
      <w:r w:rsidRPr="00EE1EA6" w:rsidR="008231E4">
        <w:t>must</w:t>
      </w:r>
      <w:r w:rsidRPr="00EE1EA6">
        <w:t xml:space="preserve"> be classified as a KPI.  KPIs may not be indicated as such in the Philips drawing but need to be identified and agreed upon when the SRPQP is filled out and approved.  KPIs may be identified by Philips engineers or suppliers.</w:t>
      </w:r>
    </w:p>
    <w:p w:rsidR="00C96BA8" w:rsidRPr="00EE1EA6" w:rsidP="00837D3D" w14:paraId="01582084" w14:textId="45DAAE16">
      <w:pPr>
        <w:pStyle w:val="Normal5Indent"/>
      </w:pPr>
      <w:r w:rsidRPr="00EE1EA6">
        <w:t>When a product characteristic cannot be fully verified and when this characteristic is not classified as a CTQ or CTS, then it must be classified as Key Process Indicator. For example, when bond strength is not classified as CTQ or CTS, it must be classified as Key Process Indicator, and the bonding process must be validated accordingly. When there is no adequate specification for a non-verifiable quality attribute (e.g., no bond strength is specified), Philips Engineering must be consulted for a specification.</w:t>
      </w:r>
    </w:p>
    <w:p w:rsidR="00813C07" w:rsidRPr="00FF5E93" w:rsidP="00EE1EA6" w14:paraId="3C10BD09" w14:textId="2841747C">
      <w:pPr>
        <w:pStyle w:val="Heading2"/>
      </w:pPr>
      <w:bookmarkStart w:id="6" w:name="_Toc256000005"/>
      <w:r w:rsidRPr="00FF5E93">
        <w:t>Verification versus Validation Decision</w:t>
      </w:r>
      <w:bookmarkEnd w:id="6"/>
      <w:r w:rsidRPr="00FF5E93">
        <w:t xml:space="preserve"> </w:t>
      </w:r>
    </w:p>
    <w:p w:rsidR="00157497" w:rsidRPr="008F2106" w:rsidP="00157497" w14:paraId="0AC46AA1" w14:textId="77777777">
      <w:r w:rsidRPr="008F2106">
        <w:t>Validation of processes must be conducted when the resulting output cannot or is not fully verified by subsequent inspection and testing via monitoring or measurement, and when deficiencies may become apparent only after the product is in use or the service has been delivered.</w:t>
      </w:r>
    </w:p>
    <w:p w:rsidR="00480514" w:rsidRPr="008F2106" w:rsidP="00837D3D" w14:paraId="7B69BD83" w14:textId="762DB476">
      <w:pPr>
        <w:pStyle w:val="Heading3"/>
      </w:pPr>
      <w:r w:rsidRPr="008F2106">
        <w:t>Some processes cannot be verified by testing all critical quality attributes (CQAs) or performing such tests may not be practical (e.g., due to batch size or destructive testing).  In such cases, the process must be validated to ensure that it can reliably produce acceptable output. Some but not all examples of processes that are not or cannot be fully verified are listed in chapter</w:t>
      </w:r>
      <w:r w:rsidR="004C7CEA">
        <w:t xml:space="preserve"> 3.4</w:t>
      </w:r>
      <w:r w:rsidRPr="008F2106">
        <w:t>. Figure 3 depicts a decision tree.</w:t>
      </w:r>
    </w:p>
    <w:p w:rsidR="00480514" w:rsidRPr="008F2106" w:rsidP="00837D3D" w14:paraId="2298550F" w14:textId="2ECBC171">
      <w:pPr>
        <w:pStyle w:val="Heading3"/>
      </w:pPr>
      <w:r w:rsidRPr="008F2106">
        <w:t xml:space="preserve">In cases where all product characteristics are confirmed through Risk Management documents to not pose any patient risk and are confirmed to be a truly cosmetic defect that does not impact function, the validation team may propose that a special process may not require an OQ or PQ. OQ or PQ may only be exempted if the proposal is approved by a Philips Quality Representative or a Philips Supplier Engineering manager and documented in the SRPQP. </w:t>
      </w:r>
    </w:p>
    <w:p w:rsidR="00480514" w:rsidRPr="008F2106" w:rsidP="00480514" w14:paraId="4903EDB3" w14:textId="77777777"/>
    <w:p w:rsidR="00480514" w:rsidRPr="008F2106" w:rsidP="009C0EE1" w14:paraId="279481A2" w14:textId="77777777">
      <w:pPr>
        <w:keepNext/>
        <w:ind w:left="720"/>
      </w:pPr>
      <w:r w:rsidRPr="008F2106">
        <w:rPr>
          <w:noProof/>
        </w:rPr>
        <w:drawing>
          <wp:inline distT="0" distB="0" distL="0" distR="0">
            <wp:extent cx="4418867" cy="2840104"/>
            <wp:effectExtent l="19050" t="19050" r="20320" b="1778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xmlns:r="http://schemas.openxmlformats.org/officeDocument/2006/relationships" r:embed="rId14"/>
                    <a:srcRect l="18289" t="33077" r="62035" b="24770"/>
                    <a:stretch>
                      <a:fillRect/>
                    </a:stretch>
                  </pic:blipFill>
                  <pic:spPr bwMode="auto">
                    <a:xfrm>
                      <a:off x="0" y="0"/>
                      <a:ext cx="4432495" cy="2848863"/>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480514" w:rsidRPr="008F2106" w:rsidP="009C0EE1" w14:paraId="36C2D048" w14:textId="32206F75">
      <w:pPr>
        <w:pStyle w:val="Caption"/>
        <w:ind w:left="720"/>
      </w:pPr>
      <w:r w:rsidRPr="008F2106">
        <w:t>Fig</w:t>
      </w:r>
      <w:r w:rsidR="008F069A">
        <w:t>u</w:t>
      </w:r>
      <w:r w:rsidRPr="008F2106">
        <w:t>r</w:t>
      </w:r>
      <w:r w:rsidR="008F069A">
        <w:t>e</w:t>
      </w:r>
      <w:r w:rsidRPr="008F2106">
        <w:t xml:space="preserve"> </w:t>
      </w:r>
      <w:r w:rsidRPr="008F2106">
        <w:fldChar w:fldCharType="begin"/>
      </w:r>
      <w:r w:rsidRPr="008F2106">
        <w:instrText xml:space="preserve"> SEQ Figuur \* ARABIC </w:instrText>
      </w:r>
      <w:r w:rsidRPr="008F2106">
        <w:fldChar w:fldCharType="separate"/>
      </w:r>
      <w:r w:rsidRPr="008F2106">
        <w:t>3</w:t>
      </w:r>
      <w:r w:rsidRPr="008F2106">
        <w:fldChar w:fldCharType="end"/>
      </w:r>
      <w:r w:rsidRPr="008F2106">
        <w:t>: GHTF SG2-N99-2004 Guidance for Validation versus Verification</w:t>
      </w:r>
    </w:p>
    <w:p w:rsidR="00D9126D" w:rsidRPr="00F10BC6" w:rsidP="00EE1EA6" w14:paraId="08BB8D47" w14:textId="40EEB610">
      <w:pPr>
        <w:pStyle w:val="Heading2"/>
      </w:pPr>
      <w:bookmarkStart w:id="7" w:name="_Toc256000006"/>
      <w:r w:rsidRPr="00F10BC6">
        <w:t>Process</w:t>
      </w:r>
      <w:r w:rsidR="00F10BC6">
        <w:t>es</w:t>
      </w:r>
      <w:r w:rsidRPr="00F10BC6">
        <w:t xml:space="preserve"> that are expected to be validated</w:t>
      </w:r>
      <w:bookmarkEnd w:id="7"/>
      <w:r w:rsidRPr="00F10BC6">
        <w:t xml:space="preserve"> </w:t>
      </w:r>
    </w:p>
    <w:p w:rsidR="00663F2F" w:rsidRPr="008F2106" w:rsidP="00663F2F" w14:paraId="2DB69209" w14:textId="77777777">
      <w:r w:rsidRPr="008F2106">
        <w:t>The following manufacturing processes are expected to be validated.</w:t>
      </w:r>
    </w:p>
    <w:p w:rsidR="00663F2F" w:rsidRPr="008F2106" w:rsidP="00663F2F" w14:paraId="500D2EB9" w14:textId="77777777"/>
    <w:p w:rsidR="00663F2F" w:rsidRPr="008F2106" w:rsidP="00663F2F" w14:paraId="24C645AD" w14:textId="77777777">
      <w:r w:rsidRPr="008F2106">
        <w:t>Note: This is not a comprehensive list. Each process should be assessed as described in the previous chapter.</w:t>
      </w:r>
    </w:p>
    <w:p w:rsidR="00663F2F" w:rsidRPr="008F2106" w:rsidP="00853B2E" w14:paraId="656BC8D9" w14:textId="77777777">
      <w:pPr>
        <w:pStyle w:val="ListParagraph"/>
        <w:numPr>
          <w:ilvl w:val="0"/>
          <w:numId w:val="6"/>
        </w:numPr>
        <w:spacing w:after="60"/>
        <w:ind w:left="1080"/>
      </w:pPr>
      <w:r w:rsidRPr="008F2106">
        <w:t>injection molding</w:t>
      </w:r>
    </w:p>
    <w:p w:rsidR="00663F2F" w:rsidRPr="008F2106" w:rsidP="00853B2E" w14:paraId="73052637" w14:textId="77777777">
      <w:pPr>
        <w:pStyle w:val="ListParagraph"/>
        <w:numPr>
          <w:ilvl w:val="0"/>
          <w:numId w:val="6"/>
        </w:numPr>
        <w:spacing w:after="60"/>
        <w:ind w:left="1080"/>
      </w:pPr>
      <w:r w:rsidRPr="008F2106">
        <w:t>plastics extrusion</w:t>
      </w:r>
    </w:p>
    <w:p w:rsidR="00663F2F" w:rsidRPr="008F2106" w:rsidP="00853B2E" w14:paraId="2797EFB6" w14:textId="77777777">
      <w:pPr>
        <w:pStyle w:val="ListParagraph"/>
        <w:numPr>
          <w:ilvl w:val="0"/>
          <w:numId w:val="6"/>
        </w:numPr>
        <w:spacing w:after="60"/>
        <w:ind w:left="1080"/>
      </w:pPr>
      <w:r w:rsidRPr="008F2106">
        <w:t>adhesive bonding (glueing)</w:t>
      </w:r>
    </w:p>
    <w:p w:rsidR="00663F2F" w:rsidRPr="008F2106" w:rsidP="00853B2E" w14:paraId="0AD3E9F8" w14:textId="77777777">
      <w:pPr>
        <w:pStyle w:val="ListParagraph"/>
        <w:numPr>
          <w:ilvl w:val="0"/>
          <w:numId w:val="6"/>
        </w:numPr>
        <w:spacing w:after="60"/>
        <w:ind w:left="1080"/>
      </w:pPr>
      <w:r w:rsidRPr="008F2106">
        <w:t>plastic bonding (ultrasonic welding, thermal bonding)</w:t>
      </w:r>
    </w:p>
    <w:p w:rsidR="00663F2F" w:rsidRPr="008F2106" w:rsidP="00853B2E" w14:paraId="7EC38231" w14:textId="77777777">
      <w:pPr>
        <w:pStyle w:val="ListParagraph"/>
        <w:numPr>
          <w:ilvl w:val="0"/>
          <w:numId w:val="6"/>
        </w:numPr>
        <w:spacing w:after="60"/>
        <w:ind w:left="1080"/>
      </w:pPr>
      <w:r w:rsidRPr="008F2106">
        <w:t>annealing and heat treating</w:t>
      </w:r>
    </w:p>
    <w:p w:rsidR="00663F2F" w:rsidRPr="008F2106" w:rsidP="00853B2E" w14:paraId="2D668D5C" w14:textId="77777777">
      <w:pPr>
        <w:pStyle w:val="ListParagraph"/>
        <w:numPr>
          <w:ilvl w:val="0"/>
          <w:numId w:val="6"/>
        </w:numPr>
        <w:spacing w:after="60"/>
        <w:ind w:left="1080"/>
      </w:pPr>
      <w:r w:rsidRPr="008F2106">
        <w:t>welding (laser welding, fuse welding, ultrasonic welding)</w:t>
      </w:r>
    </w:p>
    <w:p w:rsidR="00663F2F" w:rsidRPr="008F2106" w:rsidP="00853B2E" w14:paraId="5249CA21" w14:textId="77777777">
      <w:pPr>
        <w:pStyle w:val="ListParagraph"/>
        <w:numPr>
          <w:ilvl w:val="0"/>
          <w:numId w:val="6"/>
        </w:numPr>
        <w:spacing w:after="60"/>
        <w:ind w:left="1080"/>
      </w:pPr>
      <w:r w:rsidRPr="008F2106">
        <w:t>soldering (wave soldering, manual soldering, reflow soldering)</w:t>
      </w:r>
    </w:p>
    <w:p w:rsidR="00663F2F" w:rsidRPr="008F2106" w:rsidP="00853B2E" w14:paraId="73DC274E" w14:textId="77777777">
      <w:pPr>
        <w:pStyle w:val="ListParagraph"/>
        <w:numPr>
          <w:ilvl w:val="0"/>
          <w:numId w:val="6"/>
        </w:numPr>
        <w:spacing w:after="60"/>
        <w:ind w:left="1080"/>
      </w:pPr>
      <w:r w:rsidRPr="008F2106">
        <w:t>casting</w:t>
      </w:r>
    </w:p>
    <w:p w:rsidR="00663F2F" w:rsidRPr="008F2106" w:rsidP="00853B2E" w14:paraId="5FDCDAF0" w14:textId="77777777">
      <w:pPr>
        <w:pStyle w:val="ListParagraph"/>
        <w:numPr>
          <w:ilvl w:val="0"/>
          <w:numId w:val="6"/>
        </w:numPr>
        <w:spacing w:after="60"/>
        <w:ind w:left="1080"/>
      </w:pPr>
      <w:r w:rsidRPr="008F2106">
        <w:t>sterilization</w:t>
      </w:r>
    </w:p>
    <w:p w:rsidR="00663F2F" w:rsidRPr="008F2106" w:rsidP="00853B2E" w14:paraId="36C80FEA" w14:textId="77777777">
      <w:pPr>
        <w:pStyle w:val="ListParagraph"/>
        <w:numPr>
          <w:ilvl w:val="0"/>
          <w:numId w:val="6"/>
        </w:numPr>
        <w:spacing w:after="60"/>
        <w:ind w:left="1080"/>
      </w:pPr>
      <w:r w:rsidRPr="008F2106">
        <w:t>sterile package sealing</w:t>
      </w:r>
    </w:p>
    <w:p w:rsidR="00663F2F" w:rsidRPr="008F2106" w:rsidP="00853B2E" w14:paraId="34175EF9" w14:textId="77777777">
      <w:pPr>
        <w:pStyle w:val="ListParagraph"/>
        <w:numPr>
          <w:ilvl w:val="0"/>
          <w:numId w:val="6"/>
        </w:numPr>
        <w:spacing w:after="60"/>
        <w:ind w:left="1080"/>
      </w:pPr>
      <w:r w:rsidRPr="008F2106">
        <w:t>plating</w:t>
      </w:r>
    </w:p>
    <w:p w:rsidR="00663F2F" w:rsidRPr="008F2106" w:rsidP="00853B2E" w14:paraId="7FA33D8F" w14:textId="77777777">
      <w:pPr>
        <w:pStyle w:val="ListParagraph"/>
        <w:numPr>
          <w:ilvl w:val="0"/>
          <w:numId w:val="6"/>
        </w:numPr>
        <w:spacing w:after="60"/>
        <w:ind w:left="1080"/>
      </w:pPr>
      <w:r w:rsidRPr="008F2106">
        <w:t>cleaning and removal of processing agents</w:t>
      </w:r>
    </w:p>
    <w:p w:rsidR="00663F2F" w:rsidRPr="008F2106" w:rsidP="009702C9" w14:paraId="347DA59D" w14:textId="77777777">
      <w:pPr>
        <w:pStyle w:val="ListParagraph"/>
        <w:numPr>
          <w:ilvl w:val="0"/>
          <w:numId w:val="0"/>
        </w:numPr>
        <w:ind w:left="1296"/>
      </w:pPr>
    </w:p>
    <w:p w:rsidR="00663F2F" w:rsidRPr="008F2106" w:rsidP="00073B71" w14:paraId="53474BE1" w14:textId="77777777">
      <w:r w:rsidRPr="008F2106">
        <w:t>Reasons for validating these processes are (but not limited to):</w:t>
      </w:r>
    </w:p>
    <w:p w:rsidR="00663F2F" w:rsidRPr="008F2106" w:rsidP="00837D3D" w14:paraId="7136DA64" w14:textId="7E498716">
      <w:pPr>
        <w:pStyle w:val="Heading3"/>
      </w:pPr>
      <w:r w:rsidRPr="008F2106">
        <w:t>Some process outputs can only be verified by a destructive test (bond strength, solder strength, seal integrity, sterility, weld integrity, etc.).</w:t>
      </w:r>
    </w:p>
    <w:p w:rsidR="00663F2F" w:rsidRPr="008F2106" w:rsidP="00837D3D" w14:paraId="60651E7E" w14:textId="665CE8F9">
      <w:pPr>
        <w:pStyle w:val="Heading3"/>
      </w:pPr>
      <w:r>
        <w:t>Uncontrolled variation or c</w:t>
      </w:r>
      <w:r w:rsidRPr="008F2106">
        <w:t>hanges to critical process parameters may alter the functional performance of a part or device which only becomes apparent after the product has been in use. For example:</w:t>
      </w:r>
    </w:p>
    <w:p w:rsidR="00663F2F" w:rsidRPr="008F2106" w:rsidP="00837D3D" w14:paraId="224FC4D5" w14:textId="30B0F615">
      <w:pPr>
        <w:pStyle w:val="Heading4"/>
      </w:pPr>
      <w:r w:rsidRPr="008F2106">
        <w:t>Lowering the mold temperatures during injection molding may cause a noticeable deformation (warpage) when the part is in use.</w:t>
      </w:r>
    </w:p>
    <w:p w:rsidR="00663F2F" w:rsidRPr="008F2106" w:rsidP="00837D3D" w14:paraId="693ED8EC" w14:textId="77777777">
      <w:pPr>
        <w:pStyle w:val="Heading4"/>
      </w:pPr>
      <w:r w:rsidRPr="008F2106">
        <w:t>Reducing the drying time of raw material for extrusion may lead to fractures in a catheter during use.</w:t>
      </w:r>
    </w:p>
    <w:p w:rsidR="00F10BC6" w:rsidP="00837D3D" w14:paraId="44363097" w14:textId="47FC23E8">
      <w:pPr>
        <w:pStyle w:val="Heading4"/>
      </w:pPr>
      <w:r w:rsidRPr="008F2106">
        <w:t>Lowering the soldering temperature may lead to a printed circuit board failure because the solder connection may be too brittle to withstand vibration.</w:t>
      </w:r>
    </w:p>
    <w:p w:rsidR="00663F2F" w:rsidRPr="008F2106" w:rsidP="00837D3D" w14:paraId="56804AF7" w14:textId="63335AFB">
      <w:pPr>
        <w:pStyle w:val="Heading3"/>
      </w:pPr>
      <w:r w:rsidRPr="008F2106">
        <w:t>For some processes, verification alone may not be sufficient. For example, crimp height can be fully verified for a crimping process. However, inspecting crimp height alone may not be sufficient because it does not prove that the wire is fully secured inside the terminal. A pull test should be performed to demonstrate that the wire is fully secured and not likely to loosen during normal use.</w:t>
      </w:r>
    </w:p>
    <w:p w:rsidR="006916D3" w:rsidRPr="008F2106" w:rsidP="00EE1EA6" w14:paraId="40ADD25C" w14:textId="2D607F9C">
      <w:pPr>
        <w:pStyle w:val="Heading2"/>
      </w:pPr>
      <w:bookmarkStart w:id="8" w:name="_Toc256000007"/>
      <w:r w:rsidRPr="008F2106">
        <w:t>Full Verification during Commercial Manufacturing</w:t>
      </w:r>
      <w:bookmarkEnd w:id="8"/>
      <w:r w:rsidRPr="008F2106">
        <w:t xml:space="preserve"> </w:t>
      </w:r>
    </w:p>
    <w:p w:rsidR="002B29E3" w:rsidRPr="008F2106" w:rsidP="002B29E3" w14:paraId="1AD776C4" w14:textId="77777777">
      <w:pPr>
        <w:rPr>
          <w:color w:val="000000" w:themeColor="text1"/>
        </w:rPr>
      </w:pPr>
      <w:r w:rsidRPr="008F2106">
        <w:rPr>
          <w:color w:val="000000" w:themeColor="text1"/>
        </w:rPr>
        <w:t xml:space="preserve">Full verification means 100% inspection. If no process validation is conducted, the Critical Quality Attributes (CtQ, CtS, Key Process Indicator) must be 100% inspected. 21 CFR 820.3 (aa) states, </w:t>
      </w:r>
      <w:r w:rsidRPr="008F2106">
        <w:rPr>
          <w:rStyle w:val="Emphasis"/>
          <w:color w:val="000000" w:themeColor="text1"/>
        </w:rPr>
        <w:t>Verification</w:t>
      </w:r>
      <w:r w:rsidRPr="008F2106">
        <w:rPr>
          <w:color w:val="000000" w:themeColor="text1"/>
        </w:rPr>
        <w:t xml:space="preserve"> means confirmation by examination and provision of objective evidence that specified requirements have been fulfilled.</w:t>
      </w:r>
    </w:p>
    <w:p w:rsidR="006916D3" w:rsidRPr="008F2106" w:rsidP="00EE1EA6" w14:paraId="271BE7C4" w14:textId="428CE8AF">
      <w:pPr>
        <w:pStyle w:val="Heading2"/>
      </w:pPr>
      <w:bookmarkStart w:id="9" w:name="_Toc256000008"/>
      <w:r w:rsidRPr="008F2106">
        <w:t xml:space="preserve">Process </w:t>
      </w:r>
      <w:r w:rsidRPr="008F2106" w:rsidR="00C078E0">
        <w:t>Validation Expectations</w:t>
      </w:r>
      <w:bookmarkEnd w:id="9"/>
      <w:r w:rsidRPr="008F2106" w:rsidR="00C078E0">
        <w:t xml:space="preserve"> </w:t>
      </w:r>
    </w:p>
    <w:p w:rsidR="001D7CFF" w:rsidRPr="008F2106" w:rsidP="008C66C2" w14:paraId="77B9CED3" w14:textId="10CF61C3">
      <w:r w:rsidRPr="008F2106">
        <w:t>MDSAP audit approach is a</w:t>
      </w:r>
      <w:r w:rsidRPr="008F2106" w:rsidR="008C66C2">
        <w:t xml:space="preserve">n </w:t>
      </w:r>
      <w:r w:rsidRPr="008F2106" w:rsidR="000B433D">
        <w:t>Internationally</w:t>
      </w:r>
      <w:r w:rsidRPr="008F2106" w:rsidR="008C66C2">
        <w:t xml:space="preserve"> acknowledged approach</w:t>
      </w:r>
      <w:r w:rsidRPr="008F2106">
        <w:t xml:space="preserve"> to process validation. The following items must be complete for a successful process validation project:</w:t>
      </w:r>
    </w:p>
    <w:p w:rsidR="008C66C2" w:rsidRPr="008F2106" w:rsidP="008C66C2" w14:paraId="57119180" w14:textId="77777777"/>
    <w:p w:rsidR="003F28AF" w:rsidRPr="008F2106" w:rsidP="000B433D" w14:paraId="321607ED" w14:textId="77777777">
      <w:pPr>
        <w:pStyle w:val="ListParagraph"/>
        <w:keepNext/>
        <w:numPr>
          <w:ilvl w:val="0"/>
          <w:numId w:val="0"/>
        </w:numPr>
      </w:pPr>
      <w:r w:rsidRPr="008F2106">
        <w:rPr>
          <w:noProof/>
        </w:rPr>
        <w:drawing>
          <wp:inline distT="0" distB="0" distL="0" distR="0">
            <wp:extent cx="5943600" cy="2620645"/>
            <wp:effectExtent l="19050" t="19050" r="19050" b="27305"/>
            <wp:docPr id="10" name="Picture 9" descr="A close-up of a white background&#10;&#10;Description automatically generated">
              <a:extLst xmlns:a="http://schemas.openxmlformats.org/drawingml/2006/main">
                <a:ext xmlns:a="http://schemas.openxmlformats.org/drawingml/2006/main" uri="{FF2B5EF4-FFF2-40B4-BE49-F238E27FC236}">
                  <a16:creationId xmlns:a16="http://schemas.microsoft.com/office/drawing/2014/main" id="{5F4DB1D0-2B3F-72AD-E74A-39995C03D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up of a white background&#10;&#10;Description automatically generated">
                      <a:extLst>
                        <a:ext xmlns:a="http://schemas.openxmlformats.org/drawingml/2006/main" uri="{FF2B5EF4-FFF2-40B4-BE49-F238E27FC236}">
                          <a16:creationId xmlns:a16="http://schemas.microsoft.com/office/drawing/2014/main" id="{5F4DB1D0-2B3F-72AD-E74A-39995C03D971}"/>
                        </a:ext>
                      </a:extLst>
                    </pic:cNvPr>
                    <pic:cNvPicPr>
                      <a:picLocks noChangeAspect="1"/>
                    </pic:cNvPicPr>
                  </pic:nvPicPr>
                  <pic:blipFill>
                    <a:blip xmlns:r="http://schemas.openxmlformats.org/officeDocument/2006/relationships" r:embed="rId15"/>
                    <a:stretch>
                      <a:fillRect/>
                    </a:stretch>
                  </pic:blipFill>
                  <pic:spPr>
                    <a:xfrm>
                      <a:off x="0" y="0"/>
                      <a:ext cx="5943600" cy="2620645"/>
                    </a:xfrm>
                    <a:prstGeom prst="rect">
                      <a:avLst/>
                    </a:prstGeom>
                    <a:ln>
                      <a:solidFill>
                        <a:schemeClr val="accent1"/>
                      </a:solidFill>
                    </a:ln>
                  </pic:spPr>
                </pic:pic>
              </a:graphicData>
            </a:graphic>
          </wp:inline>
        </w:drawing>
      </w:r>
    </w:p>
    <w:p w:rsidR="001D7CFF" w:rsidP="00FC4271" w14:paraId="2E4059BB" w14:textId="513D59BA">
      <w:pPr>
        <w:pStyle w:val="Caption"/>
        <w:ind w:left="708" w:hanging="708"/>
      </w:pPr>
      <w:r w:rsidRPr="008F2106">
        <w:t xml:space="preserve">Figure </w:t>
      </w:r>
      <w:r w:rsidRPr="008F2106">
        <w:fldChar w:fldCharType="begin"/>
      </w:r>
      <w:r w:rsidRPr="008F2106">
        <w:instrText xml:space="preserve"> SEQ Figuur \* ARABIC </w:instrText>
      </w:r>
      <w:r w:rsidRPr="008F2106">
        <w:fldChar w:fldCharType="separate"/>
      </w:r>
      <w:r w:rsidRPr="008F2106">
        <w:t>4</w:t>
      </w:r>
      <w:r w:rsidRPr="008F2106">
        <w:fldChar w:fldCharType="end"/>
      </w:r>
      <w:r w:rsidRPr="008F2106">
        <w:t>: MDSAP Audit Approach to Validation.</w:t>
      </w:r>
    </w:p>
    <w:p w:rsidR="00FC4271" w:rsidP="00FC4271" w14:paraId="7A00FCEF" w14:textId="77777777"/>
    <w:p w:rsidR="00F10BC6" w:rsidRPr="008F2106" w:rsidP="00EE1EA6" w14:paraId="1871BB14" w14:textId="2AEBF4E3">
      <w:pPr>
        <w:pStyle w:val="Heading2"/>
      </w:pPr>
      <w:bookmarkStart w:id="10" w:name="_Toc256000009"/>
      <w:r>
        <w:t>Achieving the planned result</w:t>
      </w:r>
      <w:bookmarkEnd w:id="10"/>
      <w:r>
        <w:t xml:space="preserve"> </w:t>
      </w:r>
    </w:p>
    <w:p w:rsidR="00FE2B9E" w:rsidRPr="008F2106" w:rsidP="00F10BC6" w14:paraId="77E2CD0F" w14:textId="4101B8D8">
      <w:pPr>
        <w:pStyle w:val="ListParagraph"/>
        <w:numPr>
          <w:ilvl w:val="0"/>
          <w:numId w:val="0"/>
        </w:numPr>
      </w:pPr>
      <w:r w:rsidRPr="008F2106">
        <w:t xml:space="preserve">The MDSAP audit approach states that process validation activities are predictive, rather than empiric. For a process validation study to show the process achieves the planned result, the acceptance criteria must be stated in advance of performing the validation. The data from the process validation study must </w:t>
      </w:r>
      <w:r w:rsidR="004C172D">
        <w:t>confirm that</w:t>
      </w:r>
      <w:r w:rsidRPr="008F2106">
        <w:t xml:space="preserve"> the predetermined acceptance </w:t>
      </w:r>
      <w:r w:rsidRPr="008F2106">
        <w:t>criteria</w:t>
      </w:r>
      <w:r w:rsidRPr="008F2106">
        <w:t xml:space="preserve"> have been met.</w:t>
      </w:r>
    </w:p>
    <w:p w:rsidR="00C31097" w:rsidRPr="008F2106" w:rsidP="00EE1EA6" w14:paraId="79CC8B39" w14:textId="322FA83F">
      <w:pPr>
        <w:pStyle w:val="Heading2"/>
      </w:pPr>
      <w:bookmarkStart w:id="11" w:name="_Toc256000010"/>
      <w:r w:rsidRPr="008F2106">
        <w:t>Process Validation Types</w:t>
      </w:r>
      <w:bookmarkEnd w:id="11"/>
    </w:p>
    <w:p w:rsidR="009437E0" w:rsidRPr="008F2106" w:rsidP="00433688" w14:paraId="15F5F6C9" w14:textId="484CC51E">
      <w:r w:rsidRPr="008F2106">
        <w:t xml:space="preserve">Process Validation executed on behalf of Philips may be executed in </w:t>
      </w:r>
      <w:r w:rsidRPr="008F2106" w:rsidR="00D532E2">
        <w:t xml:space="preserve">multiple different methods, as described below: </w:t>
      </w:r>
    </w:p>
    <w:p w:rsidR="00A0600B" w:rsidRPr="00837D3D" w:rsidP="00837D3D" w14:paraId="71BB14F5" w14:textId="728647A0">
      <w:pPr>
        <w:pStyle w:val="Heading3"/>
      </w:pPr>
      <w:r w:rsidRPr="00837D3D">
        <w:t>Prospective Validation</w:t>
      </w:r>
      <w:r w:rsidRPr="00837D3D" w:rsidR="005D1706">
        <w:t xml:space="preserve"> </w:t>
      </w:r>
    </w:p>
    <w:p w:rsidR="00A0600B" w:rsidRPr="008F2106" w:rsidP="002916C6" w14:paraId="311FFE34" w14:textId="77777777">
      <w:bookmarkStart w:id="12" w:name="_Hlk165573784"/>
      <w:r w:rsidRPr="008F2106">
        <w:t xml:space="preserve">Validations conducted prior to release or distribution of a new or redesigned part or product, or part or product made under an updated process, where the changes may affect the part or product’s form, fit or function. Typically, multiple lots are required to demonstrate process </w:t>
      </w:r>
      <w:r w:rsidRPr="008F2106">
        <w:rPr>
          <w:color w:val="000000" w:themeColor="text1"/>
        </w:rPr>
        <w:t>capability and consistency</w:t>
      </w:r>
      <w:r w:rsidRPr="008F2106">
        <w:t>, and no lots are released until all lots are tested successfully and a report is released.  The validation type decision and justification are documented in the process validation plan. Prospective validation is the preferred method.</w:t>
      </w:r>
    </w:p>
    <w:p w:rsidR="00A0600B" w:rsidRPr="00837D3D" w:rsidP="00837D3D" w14:paraId="3367ECD4" w14:textId="6754056A">
      <w:pPr>
        <w:pStyle w:val="Heading3"/>
        <w:rPr>
          <w:color w:val="002060"/>
        </w:rPr>
      </w:pPr>
      <w:bookmarkStart w:id="13" w:name="_Toc165541799"/>
      <w:bookmarkEnd w:id="12"/>
      <w:r w:rsidRPr="00837D3D">
        <w:t>Retrospective Validation</w:t>
      </w:r>
      <w:bookmarkEnd w:id="13"/>
    </w:p>
    <w:p w:rsidR="00A0600B" w:rsidRPr="008F2106" w:rsidP="00837D3D" w14:paraId="34F555FC" w14:textId="77777777">
      <w:pPr>
        <w:pStyle w:val="Heading4"/>
      </w:pPr>
      <w:r w:rsidRPr="008F2106">
        <w:t>Validation of a process based on accumulated historical production, testing, control, and other information for a product already in production and distribution.</w:t>
      </w:r>
    </w:p>
    <w:p w:rsidR="00A0600B" w:rsidRPr="00F41FF8" w:rsidP="00837D3D" w14:paraId="42F07DA3" w14:textId="77777777">
      <w:pPr>
        <w:pStyle w:val="Heading4"/>
      </w:pPr>
      <w:r w:rsidRPr="00F41FF8">
        <w:t>Retrospective PQ establishes confidence that the current process is effective and reproducible by the sole use of historical data. To justify the use of retrospective validation, all test methods used in the primary inspections or tests must have been validated.  Additionally, if the process uses computerized data collection, the data and collection means must also have been validated to ensure data integrity.</w:t>
      </w:r>
    </w:p>
    <w:p w:rsidR="00A0600B" w:rsidRPr="008F2106" w:rsidP="00837D3D" w14:paraId="1F10AEEF" w14:textId="77777777">
      <w:pPr>
        <w:pStyle w:val="Heading4"/>
      </w:pPr>
      <w:r w:rsidRPr="008F2106">
        <w:t>This historical data may be found in batch records, production logbooks, lot records, control charts, test and inspection results, customer complaints, audit reports, etc.</w:t>
      </w:r>
    </w:p>
    <w:p w:rsidR="00A0600B" w:rsidRPr="008F2106" w:rsidP="00837D3D" w14:paraId="5E13BCB2" w14:textId="77777777">
      <w:pPr>
        <w:pStyle w:val="Heading4"/>
      </w:pPr>
      <w:r w:rsidRPr="008F2106">
        <w:t>Retrospective validation is feasible when all the appropriate data (including process parameter settings) was collected in a manner that allows adequate analysis and is of the same quality that would be required in prospective validation. Historical manufacturing data of a pass/fail nature alone (e.g. sample size not described, actual results not recorded, etc.) is usually not adequate.</w:t>
      </w:r>
    </w:p>
    <w:p w:rsidR="00A0600B" w:rsidRPr="008F2106" w:rsidP="00837D3D" w14:paraId="363AE982" w14:textId="77777777">
      <w:pPr>
        <w:pStyle w:val="Heading4"/>
      </w:pPr>
      <w:r w:rsidRPr="008F2106">
        <w:t xml:space="preserve">If historical data is determined to be adequate and representative, an analysis can be conducted via a written retrospective validation protocol to determine whether the process has been operating in a state of control and has consistently produced product which meets its predetermined requirements. </w:t>
      </w:r>
    </w:p>
    <w:p w:rsidR="00A0600B" w:rsidRPr="008F2106" w:rsidP="00837D3D" w14:paraId="0D1CE8D6" w14:textId="77777777">
      <w:pPr>
        <w:pStyle w:val="Heading4"/>
      </w:pPr>
      <w:r w:rsidRPr="008F2106">
        <w:t>If the retrospective data review satisfies the minimum performance levels required for each quality parameter, then the operating range in the manufacturing instructions will be changed to the widest range found based on the actual data found for the lots during that period and the process will be deemed successfully retrospectively validated. A minimum of 20 production runs should be used for analysis.  If there was a change to the manufacturing process, then only runs after the change can be used for analysis.</w:t>
      </w:r>
    </w:p>
    <w:p w:rsidR="00A0600B" w:rsidP="00837D3D" w14:paraId="291D0D98" w14:textId="77777777">
      <w:pPr>
        <w:pStyle w:val="Heading4"/>
      </w:pPr>
      <w:r w:rsidRPr="008F2106">
        <w:t>The validation type decision and justification for retrospective validation are approved by Philips and documented in the SRPQP.</w:t>
      </w:r>
    </w:p>
    <w:p w:rsidR="00A0600B" w:rsidRPr="00837D3D" w:rsidP="00837D3D" w14:paraId="5A9F4E5E" w14:textId="7BAE7146">
      <w:pPr>
        <w:pStyle w:val="Heading3"/>
      </w:pPr>
      <w:r w:rsidRPr="00837D3D">
        <w:t>Concurrent or Rolling Validation</w:t>
      </w:r>
    </w:p>
    <w:p w:rsidR="00A0600B" w:rsidRPr="008F2106" w:rsidP="00837D3D" w14:paraId="6BB7CEB5" w14:textId="65CA788D">
      <w:pPr>
        <w:pStyle w:val="Heading4"/>
      </w:pPr>
      <w:r>
        <w:t>T</w:t>
      </w:r>
      <w:r w:rsidRPr="008F2106">
        <w:t>he PQ study needs to be completed successfully and a high degree of assurance in the process must be achieved before the commercial distribution of product. In special situations, the PQ protocol can be designed to release a PQ run to distribution before complete execution of the PQ study. It is recommended to only use this approach when all CQAs can be fully verified. Pooling data may not be used in cases of concurrent validation. FDA expects that concurrent release will be rarely used.</w:t>
      </w:r>
    </w:p>
    <w:p w:rsidR="00A0600B" w:rsidRPr="008F2106" w:rsidP="00837D3D" w14:paraId="6105A061" w14:textId="02EE8F55">
      <w:pPr>
        <w:pStyle w:val="Heading4"/>
      </w:pPr>
      <w:r w:rsidRPr="008F2106">
        <w:t xml:space="preserve">Concurrent validation should follow the prospective validation approach described in this guidance. IQ, TMV, and OQ must be completed, and respective reports approved before PQ commences. In rare cases the PQ runs can be released concurrently meaning that product made from PQ 1 can be released to market before PQ 2 commences. Product can only be released after the requirements of the protocol have been met, and an interim report is approved. </w:t>
      </w:r>
    </w:p>
    <w:p w:rsidR="00A0600B" w:rsidRPr="008F2106" w:rsidP="00837D3D" w14:paraId="2FE6937D" w14:textId="085A73AD">
      <w:pPr>
        <w:pStyle w:val="Heading4"/>
      </w:pPr>
      <w:r w:rsidRPr="008F2106">
        <w:t xml:space="preserve">A rolling validation can be considered for low volume manufacturing when the required sample size for a PQ attribute sampling plan is higher than the </w:t>
      </w:r>
      <w:r w:rsidRPr="008F2106">
        <w:t xml:space="preserve">commercial </w:t>
      </w:r>
      <w:r w:rsidRPr="008F2106">
        <w:t>lot size. Circumstances and rationale for the concurrent release must be described in the PQ protocol and approved by Philips Quality Engineering. For example, a low volume sandcasting process may require ten production runs to meet the attribute sampling requirement. For the PQ study, the manufactured parts can be released after each PQ run if all acceptance criteria and requirements are met before releasing each lot. Critical Quality Attributes need to be 100% verified. Once enough samples have been inspected to meet the attribute sampling plan criteria, the final report is written, and the process is then considered validated. Since Philips only uses attribute sampling plans with c=0 failures for process validation, no failure is allowed during the concurrent validation study. If a failure occurs, the validation study fails and full verification of CQAs must continue</w:t>
      </w:r>
      <w:r w:rsidR="00161DB5">
        <w:t xml:space="preserve"> until a new validation study has been successfully completed.</w:t>
      </w:r>
    </w:p>
    <w:p w:rsidR="00D47F2A" w:rsidRPr="00D47F2A" w:rsidP="00EE1EA6" w14:paraId="40F2EAD6" w14:textId="2793F5CC">
      <w:pPr>
        <w:pStyle w:val="Heading2"/>
      </w:pPr>
      <w:bookmarkStart w:id="14" w:name="_Toc256000011"/>
      <w:r w:rsidRPr="00D47F2A">
        <w:t>Personnel Qualification</w:t>
      </w:r>
      <w:bookmarkEnd w:id="14"/>
    </w:p>
    <w:p w:rsidR="003066D2" w:rsidP="00837D3D" w14:paraId="63E83A43" w14:textId="43A4FD75">
      <w:pPr>
        <w:pStyle w:val="Heading3"/>
      </w:pPr>
      <w:r w:rsidRPr="008F2106">
        <w:t>V</w:t>
      </w:r>
      <w:r w:rsidRPr="008F2106" w:rsidR="00B55DA8">
        <w:t>alidated processes</w:t>
      </w:r>
      <w:r w:rsidRPr="008F2106">
        <w:t xml:space="preserve"> must be executed by </w:t>
      </w:r>
      <w:r w:rsidR="002574E3">
        <w:t>q</w:t>
      </w:r>
      <w:r w:rsidRPr="008F2106">
        <w:t>ualified personnel</w:t>
      </w:r>
      <w:r w:rsidRPr="008F2106" w:rsidR="00B55DA8">
        <w:t xml:space="preserve">. </w:t>
      </w:r>
    </w:p>
    <w:p w:rsidR="00B55DA8" w:rsidRPr="008F2106" w:rsidP="00837D3D" w14:paraId="667113AB" w14:textId="6D12A60C">
      <w:pPr>
        <w:pStyle w:val="Heading3"/>
      </w:pPr>
      <w:r w:rsidRPr="008F2106">
        <w:t>21 CFR 820.75 (b) (2) states that each manufacturer shall ensure that validated processes are performed by qualified individual(s).</w:t>
      </w:r>
    </w:p>
    <w:p w:rsidR="003066D2" w:rsidP="00837D3D" w14:paraId="613A0ACC" w14:textId="0748F73C">
      <w:pPr>
        <w:pStyle w:val="Heading3"/>
      </w:pPr>
      <w:r w:rsidRPr="008F2106">
        <w:t>CFR 820.25 (b) (2) states that personnel who perform verification and validation activities shall be made aware of defects and errors that may be encountered as part of their job functions.</w:t>
      </w:r>
    </w:p>
    <w:p w:rsidR="00B55DA8" w:rsidP="00837D3D" w14:paraId="46CAD9B3" w14:textId="591CD22F">
      <w:pPr>
        <w:pStyle w:val="Heading3"/>
      </w:pPr>
      <w:r>
        <w:t>E</w:t>
      </w:r>
      <w:r w:rsidRPr="008F2106">
        <w:t>ach person participating in the execution of validation activities must be trained to the validation protocols (IQ, OQ, PQ) and the training records must be retained with the validation records.</w:t>
      </w:r>
    </w:p>
    <w:p w:rsidR="00161DB5" w:rsidP="00161DB5" w14:paraId="511DA1FE" w14:textId="38D46792">
      <w:r>
        <w:br w:type="page"/>
      </w:r>
    </w:p>
    <w:p w:rsidR="00604C24" w:rsidRPr="008F2106" w:rsidP="00A61F37" w14:paraId="3CAE4172" w14:textId="2BAC5B43">
      <w:pPr>
        <w:pStyle w:val="Heading1"/>
      </w:pPr>
      <w:r w:rsidRPr="008F2106">
        <w:t xml:space="preserve"> </w:t>
      </w:r>
      <w:bookmarkStart w:id="15" w:name="_Toc256000012"/>
      <w:r w:rsidRPr="008F2106" w:rsidR="00464AC9">
        <w:t>Acronyms and Definitions</w:t>
      </w:r>
      <w:bookmarkEnd w:id="15"/>
    </w:p>
    <w:tbl>
      <w:tblPr>
        <w:tblStyle w:val="TableGrid"/>
        <w:tblW w:w="8730" w:type="dxa"/>
        <w:tblInd w:w="-5" w:type="dxa"/>
        <w:tblLook w:val="04A0"/>
      </w:tblPr>
      <w:tblGrid>
        <w:gridCol w:w="1663"/>
        <w:gridCol w:w="7067"/>
      </w:tblGrid>
      <w:tr w14:paraId="5D762005" w14:textId="77777777">
        <w:tblPrEx>
          <w:tblW w:w="8730" w:type="dxa"/>
          <w:tblInd w:w="-5" w:type="dxa"/>
          <w:tblLook w:val="04A0"/>
        </w:tblPrEx>
        <w:trPr>
          <w:tblHeader/>
        </w:trPr>
        <w:tc>
          <w:tcPr>
            <w:tcW w:w="1663" w:type="dxa"/>
            <w:shd w:val="clear" w:color="auto" w:fill="D9D9D9" w:themeFill="background2" w:themeFillShade="D9"/>
          </w:tcPr>
          <w:p w:rsidR="00464AC9" w:rsidRPr="008F2106" w:rsidP="005C08EE" w14:paraId="2F8C3681" w14:textId="77777777">
            <w:pPr>
              <w:rPr>
                <w:rFonts w:cstheme="minorHAnsi"/>
                <w:b/>
                <w:bCs/>
                <w:lang w:eastAsia="nl-NL"/>
              </w:rPr>
            </w:pPr>
            <w:r w:rsidRPr="008F2106">
              <w:rPr>
                <w:rFonts w:cstheme="minorHAnsi"/>
                <w:b/>
                <w:bCs/>
                <w:lang w:eastAsia="nl-NL"/>
              </w:rPr>
              <w:t>Acronyms and Terminology</w:t>
            </w:r>
          </w:p>
        </w:tc>
        <w:tc>
          <w:tcPr>
            <w:tcW w:w="7067" w:type="dxa"/>
            <w:shd w:val="clear" w:color="auto" w:fill="D9D9D9" w:themeFill="background2" w:themeFillShade="D9"/>
          </w:tcPr>
          <w:p w:rsidR="00464AC9" w:rsidRPr="008F2106" w:rsidP="005C08EE" w14:paraId="3113BE3E" w14:textId="77777777">
            <w:pPr>
              <w:rPr>
                <w:rFonts w:cstheme="minorHAnsi"/>
                <w:b/>
                <w:bCs/>
                <w:lang w:eastAsia="nl-NL"/>
              </w:rPr>
            </w:pPr>
            <w:r w:rsidRPr="008F2106">
              <w:rPr>
                <w:rFonts w:cstheme="minorHAnsi"/>
                <w:b/>
                <w:bCs/>
                <w:lang w:eastAsia="nl-NL"/>
              </w:rPr>
              <w:t>Description</w:t>
            </w:r>
          </w:p>
        </w:tc>
      </w:tr>
      <w:tr w14:paraId="7A187B6E" w14:textId="77777777">
        <w:tblPrEx>
          <w:tblW w:w="8730" w:type="dxa"/>
          <w:tblInd w:w="-5" w:type="dxa"/>
          <w:tblLook w:val="04A0"/>
        </w:tblPrEx>
        <w:tc>
          <w:tcPr>
            <w:tcW w:w="1663" w:type="dxa"/>
          </w:tcPr>
          <w:p w:rsidR="00464AC9" w:rsidRPr="008F2106" w:rsidP="005C08EE" w14:paraId="17B7554F" w14:textId="77777777">
            <w:pPr>
              <w:rPr>
                <w:rFonts w:cstheme="minorHAnsi"/>
              </w:rPr>
            </w:pPr>
            <w:r w:rsidRPr="008F2106">
              <w:rPr>
                <w:rFonts w:cstheme="minorHAnsi"/>
              </w:rPr>
              <w:t>Action Level</w:t>
            </w:r>
          </w:p>
        </w:tc>
        <w:tc>
          <w:tcPr>
            <w:tcW w:w="7067" w:type="dxa"/>
          </w:tcPr>
          <w:p w:rsidR="00464AC9" w:rsidRPr="008F2106" w:rsidP="005C08EE" w14:paraId="6F5063FB" w14:textId="77777777">
            <w:pPr>
              <w:rPr>
                <w:rFonts w:cstheme="minorHAnsi"/>
                <w:color w:val="000000"/>
                <w:shd w:val="clear" w:color="auto" w:fill="FFFFFF"/>
              </w:rPr>
            </w:pPr>
            <w:r w:rsidRPr="008F2106">
              <w:rPr>
                <w:rFonts w:eastAsia="Calibri" w:cstheme="minorHAnsi"/>
                <w:szCs w:val="22"/>
                <w:bdr w:val="none" w:sz="0" w:space="0" w:color="auto" w:frame="1"/>
              </w:rPr>
              <w:t>An established point at which a critical process parameter (CPP) or a critical quality attribute (CQA), as measured during the manufacturing process, indicates a need for action/adjustment to the CPP, to maintain a state of control.</w:t>
            </w:r>
          </w:p>
        </w:tc>
      </w:tr>
      <w:tr w14:paraId="7079D9A9" w14:textId="77777777">
        <w:tblPrEx>
          <w:tblW w:w="8730" w:type="dxa"/>
          <w:tblInd w:w="-5" w:type="dxa"/>
          <w:tblLook w:val="04A0"/>
        </w:tblPrEx>
        <w:tc>
          <w:tcPr>
            <w:tcW w:w="1663" w:type="dxa"/>
          </w:tcPr>
          <w:p w:rsidR="00464AC9" w:rsidRPr="008F2106" w:rsidP="005C08EE" w14:paraId="184436DB" w14:textId="77777777">
            <w:pPr>
              <w:rPr>
                <w:rFonts w:cstheme="minorHAnsi"/>
              </w:rPr>
            </w:pPr>
            <w:r w:rsidRPr="008F2106">
              <w:rPr>
                <w:rFonts w:cstheme="minorHAnsi"/>
              </w:rPr>
              <w:t>AQL</w:t>
            </w:r>
          </w:p>
        </w:tc>
        <w:tc>
          <w:tcPr>
            <w:tcW w:w="7067" w:type="dxa"/>
          </w:tcPr>
          <w:p w:rsidR="00464AC9" w:rsidRPr="008F2106" w:rsidP="005C08EE" w14:paraId="0BF927D5" w14:textId="77777777">
            <w:pPr>
              <w:rPr>
                <w:rFonts w:cstheme="minorHAnsi"/>
                <w:color w:val="000000"/>
                <w:shd w:val="clear" w:color="auto" w:fill="FFFFFF"/>
              </w:rPr>
            </w:pPr>
            <w:r w:rsidRPr="008F2106">
              <w:rPr>
                <w:rFonts w:cstheme="minorHAnsi"/>
                <w:color w:val="000000"/>
                <w:shd w:val="clear" w:color="auto" w:fill="FFFFFF"/>
              </w:rPr>
              <w:t>Acceptance Quality Level. The AQL of a sampling plan is a quality level routinely accepted by the sampling plan. The AQL describes the quality levels the sampling plan accepts at least 95% of the time.</w:t>
            </w:r>
          </w:p>
        </w:tc>
      </w:tr>
      <w:tr w14:paraId="09B1243E" w14:textId="77777777">
        <w:tblPrEx>
          <w:tblW w:w="8730" w:type="dxa"/>
          <w:tblInd w:w="-5" w:type="dxa"/>
          <w:tblLook w:val="04A0"/>
        </w:tblPrEx>
        <w:tc>
          <w:tcPr>
            <w:tcW w:w="1663" w:type="dxa"/>
          </w:tcPr>
          <w:p w:rsidR="00464AC9" w:rsidRPr="008F2106" w:rsidP="005C08EE" w14:paraId="0DA02CF2" w14:textId="77777777">
            <w:pPr>
              <w:rPr>
                <w:rFonts w:cstheme="minorHAnsi"/>
              </w:rPr>
            </w:pPr>
            <w:r w:rsidRPr="008F2106">
              <w:rPr>
                <w:rFonts w:cstheme="minorHAnsi"/>
              </w:rPr>
              <w:t>Binomial Distribution</w:t>
            </w:r>
          </w:p>
        </w:tc>
        <w:tc>
          <w:tcPr>
            <w:tcW w:w="7067" w:type="dxa"/>
          </w:tcPr>
          <w:p w:rsidR="00464AC9" w:rsidRPr="008F2106" w:rsidP="005C08EE" w14:paraId="54E8FFD4" w14:textId="77777777">
            <w:pPr>
              <w:rPr>
                <w:rFonts w:cstheme="minorHAnsi"/>
                <w:color w:val="000000"/>
                <w:shd w:val="clear" w:color="auto" w:fill="FFFFFF"/>
              </w:rPr>
            </w:pPr>
            <w:r w:rsidRPr="008F2106">
              <w:rPr>
                <w:rFonts w:cstheme="minorHAnsi"/>
                <w:color w:val="000000"/>
                <w:shd w:val="clear" w:color="auto" w:fill="FFFFFF"/>
              </w:rPr>
              <w:t>The binomial distribution is a discrete function that is used to describe a process where the outcomes can be labeled as pass or fail and when we are interested in the occurrence of a failure and not in its magnitude.</w:t>
            </w:r>
          </w:p>
          <w:p w:rsidR="00464AC9" w:rsidRPr="008F2106" w:rsidP="005C08EE" w14:paraId="09AB3F89" w14:textId="77777777">
            <w:pPr>
              <w:rPr>
                <w:rFonts w:cstheme="minorHAnsi"/>
                <w:color w:val="000000"/>
                <w:shd w:val="clear" w:color="auto" w:fill="FFFFFF"/>
              </w:rPr>
            </w:pPr>
            <w:r w:rsidRPr="008F2106">
              <w:rPr>
                <w:rFonts w:cstheme="minorHAnsi"/>
                <w:color w:val="000000"/>
                <w:shd w:val="clear" w:color="auto" w:fill="FFFFFF"/>
              </w:rPr>
              <w:t xml:space="preserve">For example, use the binomial distribution to calculate the probability that 3 or more defectives are in a sample of 25 items if the probability of a defective for each trial is 2%. The number of defective items (X) follows a binomial distribution with n = 25 and p = 0.02 </w:t>
            </w:r>
            <w:r w:rsidRPr="008F2106">
              <w:rPr>
                <w:rFonts w:cstheme="minorHAnsi"/>
                <w:color w:val="7F7F7F" w:themeColor="text1" w:themeTint="80"/>
                <w:shd w:val="clear" w:color="auto" w:fill="FFFFFF"/>
              </w:rPr>
              <w:t>(Paraphrased from Minitab Help)</w:t>
            </w:r>
          </w:p>
        </w:tc>
      </w:tr>
      <w:tr w14:paraId="2EBF8699" w14:textId="77777777">
        <w:tblPrEx>
          <w:tblW w:w="8730" w:type="dxa"/>
          <w:tblInd w:w="-5" w:type="dxa"/>
          <w:tblLook w:val="04A0"/>
        </w:tblPrEx>
        <w:tc>
          <w:tcPr>
            <w:tcW w:w="1663" w:type="dxa"/>
          </w:tcPr>
          <w:p w:rsidR="00464AC9" w:rsidRPr="008F2106" w:rsidP="005C08EE" w14:paraId="6BC81E36" w14:textId="77777777">
            <w:pPr>
              <w:rPr>
                <w:rFonts w:cstheme="minorHAnsi"/>
              </w:rPr>
            </w:pPr>
            <w:r w:rsidRPr="008F2106">
              <w:rPr>
                <w:rFonts w:cstheme="minorHAnsi"/>
              </w:rPr>
              <w:t>CDRH</w:t>
            </w:r>
          </w:p>
        </w:tc>
        <w:tc>
          <w:tcPr>
            <w:tcW w:w="7067" w:type="dxa"/>
          </w:tcPr>
          <w:p w:rsidR="00464AC9" w:rsidRPr="008F2106" w:rsidP="005C08EE" w14:paraId="773BE697" w14:textId="77777777">
            <w:pPr>
              <w:rPr>
                <w:rFonts w:cstheme="minorHAnsi"/>
                <w:color w:val="000000"/>
                <w:shd w:val="clear" w:color="auto" w:fill="FFFFFF"/>
              </w:rPr>
            </w:pPr>
            <w:r w:rsidRPr="008F2106">
              <w:rPr>
                <w:rFonts w:cstheme="minorHAnsi"/>
                <w:color w:val="000000"/>
                <w:shd w:val="clear" w:color="auto" w:fill="FFFFFF"/>
              </w:rPr>
              <w:t>FDA Center for Devices and Radiological Health</w:t>
            </w:r>
          </w:p>
          <w:p w:rsidR="00464AC9" w:rsidRPr="008F2106" w:rsidP="005C08EE" w14:paraId="500A1B20" w14:textId="77777777">
            <w:pPr>
              <w:rPr>
                <w:rFonts w:cstheme="minorHAnsi"/>
                <w:color w:val="000000"/>
                <w:shd w:val="clear" w:color="auto" w:fill="FFFFFF"/>
              </w:rPr>
            </w:pPr>
            <w:r w:rsidRPr="008F2106">
              <w:rPr>
                <w:rFonts w:cstheme="minorHAnsi"/>
                <w:color w:val="000000"/>
                <w:shd w:val="clear" w:color="auto" w:fill="FFFFFF"/>
              </w:rPr>
              <w:t>Branch of the United States Food and Drug Administration responsible for medical devices regulation</w:t>
            </w:r>
          </w:p>
        </w:tc>
      </w:tr>
      <w:tr w14:paraId="03204AFF" w14:textId="77777777">
        <w:tblPrEx>
          <w:tblW w:w="8730" w:type="dxa"/>
          <w:tblInd w:w="-5" w:type="dxa"/>
          <w:tblLook w:val="04A0"/>
        </w:tblPrEx>
        <w:tc>
          <w:tcPr>
            <w:tcW w:w="1663" w:type="dxa"/>
          </w:tcPr>
          <w:p w:rsidR="00464AC9" w:rsidRPr="008F2106" w:rsidP="005C08EE" w14:paraId="049B6B9C" w14:textId="77777777">
            <w:pPr>
              <w:rPr>
                <w:rFonts w:cstheme="minorHAnsi"/>
              </w:rPr>
            </w:pPr>
            <w:r w:rsidRPr="008F2106">
              <w:rPr>
                <w:rFonts w:cstheme="minorHAnsi"/>
              </w:rPr>
              <w:t>Common cause variation</w:t>
            </w:r>
          </w:p>
        </w:tc>
        <w:tc>
          <w:tcPr>
            <w:tcW w:w="7067" w:type="dxa"/>
          </w:tcPr>
          <w:p w:rsidR="00464AC9" w:rsidRPr="008F2106" w:rsidP="005C08EE" w14:paraId="597BF2D9" w14:textId="77777777">
            <w:pPr>
              <w:rPr>
                <w:rFonts w:cstheme="minorHAnsi"/>
                <w:color w:val="000000"/>
                <w:shd w:val="clear" w:color="auto" w:fill="FFFFFF"/>
              </w:rPr>
            </w:pPr>
            <w:r w:rsidRPr="008F2106">
              <w:rPr>
                <w:rFonts w:cstheme="minorHAnsi"/>
                <w:color w:val="000000"/>
                <w:shd w:val="clear" w:color="auto" w:fill="FFFFFF"/>
              </w:rPr>
              <w:t>Common cause variation is the expected, random fluctuation in a process that results from normal interactions between process operators, equipment, materials, environment, and methods. A process that only has common cause variation is consistent and predictable.</w:t>
            </w:r>
          </w:p>
        </w:tc>
      </w:tr>
      <w:tr w14:paraId="7A96D43C" w14:textId="77777777">
        <w:tblPrEx>
          <w:tblW w:w="8730" w:type="dxa"/>
          <w:tblInd w:w="-5" w:type="dxa"/>
          <w:tblLook w:val="04A0"/>
        </w:tblPrEx>
        <w:tc>
          <w:tcPr>
            <w:tcW w:w="1663" w:type="dxa"/>
          </w:tcPr>
          <w:p w:rsidR="00464AC9" w:rsidRPr="008F2106" w:rsidP="005C08EE" w14:paraId="08E9DC27" w14:textId="77777777">
            <w:pPr>
              <w:rPr>
                <w:rFonts w:cstheme="minorHAnsi"/>
              </w:rPr>
            </w:pPr>
            <w:r w:rsidRPr="008F2106">
              <w:rPr>
                <w:rFonts w:cstheme="minorHAnsi"/>
              </w:rPr>
              <w:t>Confidence Statement</w:t>
            </w:r>
          </w:p>
        </w:tc>
        <w:tc>
          <w:tcPr>
            <w:tcW w:w="7067" w:type="dxa"/>
          </w:tcPr>
          <w:p w:rsidR="00464AC9" w:rsidRPr="008F2106" w:rsidP="005C08EE" w14:paraId="0EAF6A89" w14:textId="77777777">
            <w:pPr>
              <w:rPr>
                <w:rFonts w:cstheme="minorHAnsi"/>
                <w:color w:val="000000"/>
                <w:shd w:val="clear" w:color="auto" w:fill="FFFFFF"/>
              </w:rPr>
            </w:pPr>
            <w:r w:rsidRPr="008F2106">
              <w:rPr>
                <w:rFonts w:cstheme="minorHAnsi"/>
                <w:color w:val="000000"/>
                <w:shd w:val="clear" w:color="auto" w:fill="FFFFFF"/>
              </w:rPr>
              <w:t xml:space="preserve">Passing a sampling plan allows one to make a confidence statement such as: With 95% confidence, more than 99% of the product meets the predetermined specifications. The confidence level is the probability of rejecting a process with a quality level at AQL or better. </w:t>
            </w:r>
          </w:p>
        </w:tc>
      </w:tr>
      <w:tr w14:paraId="1FCA073B" w14:textId="77777777">
        <w:tblPrEx>
          <w:tblW w:w="8730" w:type="dxa"/>
          <w:tblInd w:w="-5" w:type="dxa"/>
          <w:tblLook w:val="04A0"/>
        </w:tblPrEx>
        <w:tc>
          <w:tcPr>
            <w:tcW w:w="1663" w:type="dxa"/>
          </w:tcPr>
          <w:p w:rsidR="00464AC9" w:rsidRPr="008F2106" w:rsidP="005C08EE" w14:paraId="075907E3" w14:textId="77777777">
            <w:pPr>
              <w:rPr>
                <w:rFonts w:cstheme="minorHAnsi"/>
              </w:rPr>
            </w:pPr>
            <w:r w:rsidRPr="008F2106">
              <w:rPr>
                <w:rFonts w:cstheme="minorHAnsi"/>
              </w:rPr>
              <w:t>Concurrent Validation</w:t>
            </w:r>
          </w:p>
        </w:tc>
        <w:tc>
          <w:tcPr>
            <w:tcW w:w="7067" w:type="dxa"/>
          </w:tcPr>
          <w:p w:rsidR="00464AC9" w:rsidRPr="008F2106" w:rsidP="005C08EE" w14:paraId="7D90318E" w14:textId="77777777">
            <w:pPr>
              <w:rPr>
                <w:rFonts w:cstheme="minorHAnsi"/>
                <w:color w:val="000000"/>
                <w:shd w:val="clear" w:color="auto" w:fill="FFFFFF"/>
              </w:rPr>
            </w:pPr>
            <w:r w:rsidRPr="008F2106">
              <w:rPr>
                <w:rFonts w:cstheme="minorHAnsi"/>
                <w:color w:val="000000"/>
                <w:shd w:val="clear" w:color="auto" w:fill="FFFFFF"/>
              </w:rPr>
              <w:t>Concurrent validation is an approach to process validation where the PQ lots are released for distribution before the complete validation study is approved, based on data from each individual PQ lot.</w:t>
            </w:r>
          </w:p>
        </w:tc>
      </w:tr>
      <w:tr w14:paraId="7773929F" w14:textId="77777777">
        <w:tblPrEx>
          <w:tblW w:w="8730" w:type="dxa"/>
          <w:tblInd w:w="-5" w:type="dxa"/>
          <w:tblLook w:val="04A0"/>
        </w:tblPrEx>
        <w:tc>
          <w:tcPr>
            <w:tcW w:w="1663" w:type="dxa"/>
          </w:tcPr>
          <w:p w:rsidR="00464AC9" w:rsidRPr="008F2106" w:rsidP="005C08EE" w14:paraId="2484129D" w14:textId="77777777">
            <w:pPr>
              <w:rPr>
                <w:rFonts w:cstheme="minorHAnsi"/>
              </w:rPr>
            </w:pPr>
            <w:r w:rsidRPr="008F2106">
              <w:rPr>
                <w:rFonts w:cstheme="minorHAnsi"/>
              </w:rPr>
              <w:t>COTS</w:t>
            </w:r>
          </w:p>
        </w:tc>
        <w:tc>
          <w:tcPr>
            <w:tcW w:w="7067" w:type="dxa"/>
          </w:tcPr>
          <w:p w:rsidR="00464AC9" w:rsidRPr="008F2106" w:rsidP="005C08EE" w14:paraId="79CAE301" w14:textId="77777777">
            <w:pPr>
              <w:rPr>
                <w:rFonts w:cstheme="minorHAnsi"/>
                <w:color w:val="000000"/>
                <w:shd w:val="clear" w:color="auto" w:fill="FFFFFF"/>
              </w:rPr>
            </w:pPr>
            <w:r w:rsidRPr="008F2106">
              <w:rPr>
                <w:rFonts w:cstheme="minorHAnsi"/>
                <w:color w:val="000000"/>
                <w:shd w:val="clear" w:color="auto" w:fill="FFFFFF"/>
              </w:rPr>
              <w:t>Commercial off -the-shelf</w:t>
            </w:r>
          </w:p>
        </w:tc>
      </w:tr>
      <w:tr w14:paraId="35CF2397" w14:textId="77777777">
        <w:tblPrEx>
          <w:tblW w:w="8730" w:type="dxa"/>
          <w:tblInd w:w="-5" w:type="dxa"/>
          <w:tblLook w:val="04A0"/>
        </w:tblPrEx>
        <w:tc>
          <w:tcPr>
            <w:tcW w:w="1663" w:type="dxa"/>
          </w:tcPr>
          <w:p w:rsidR="00464AC9" w:rsidRPr="008F2106" w:rsidP="005C08EE" w14:paraId="27CCE84E" w14:textId="77777777">
            <w:pPr>
              <w:rPr>
                <w:rFonts w:cstheme="minorBidi"/>
              </w:rPr>
            </w:pPr>
            <w:r w:rsidRPr="008F2106">
              <w:rPr>
                <w:rFonts w:cstheme="minorBidi"/>
              </w:rPr>
              <w:t>CPP</w:t>
            </w:r>
          </w:p>
        </w:tc>
        <w:tc>
          <w:tcPr>
            <w:tcW w:w="7067" w:type="dxa"/>
          </w:tcPr>
          <w:p w:rsidR="00464AC9" w:rsidRPr="008F2106" w:rsidP="005C08EE" w14:paraId="7AF8CCA1" w14:textId="77777777">
            <w:pPr>
              <w:rPr>
                <w:rFonts w:cstheme="minorBidi"/>
                <w:color w:val="000000"/>
                <w:shd w:val="clear" w:color="auto" w:fill="FFFFFF"/>
              </w:rPr>
            </w:pPr>
            <w:r w:rsidRPr="008F2106">
              <w:rPr>
                <w:rFonts w:cstheme="minorBidi"/>
              </w:rPr>
              <w:t>Critical Process Parameter (CPP). A CPP is a process parameter whose variability has an impact on a critical quality attribute. CPP’s must be identified before a process is validated, a process operating window must be established, challenged in the OQ, and confirmed in the PQ. CPP’s must be monitored or controlled in routine production to ensure the process meets the predetermined specifications.</w:t>
            </w:r>
          </w:p>
        </w:tc>
      </w:tr>
      <w:tr w14:paraId="4BA9BF21" w14:textId="77777777">
        <w:tblPrEx>
          <w:tblW w:w="8730" w:type="dxa"/>
          <w:tblInd w:w="-5" w:type="dxa"/>
          <w:tblLook w:val="04A0"/>
        </w:tblPrEx>
        <w:tc>
          <w:tcPr>
            <w:tcW w:w="1663" w:type="dxa"/>
          </w:tcPr>
          <w:p w:rsidR="00464AC9" w:rsidRPr="008F2106" w:rsidP="005C08EE" w14:paraId="66952F4B" w14:textId="77777777">
            <w:pPr>
              <w:rPr>
                <w:rFonts w:cstheme="minorHAnsi"/>
                <w:szCs w:val="22"/>
              </w:rPr>
            </w:pPr>
            <w:r w:rsidRPr="008F2106">
              <w:rPr>
                <w:rFonts w:cstheme="minorHAnsi"/>
                <w:szCs w:val="22"/>
              </w:rPr>
              <w:t>CQA</w:t>
            </w:r>
          </w:p>
        </w:tc>
        <w:tc>
          <w:tcPr>
            <w:tcW w:w="7067" w:type="dxa"/>
          </w:tcPr>
          <w:p w:rsidR="00464AC9" w:rsidRPr="008F2106" w:rsidP="005C08EE" w14:paraId="04444F7A" w14:textId="77777777">
            <w:pPr>
              <w:rPr>
                <w:rFonts w:cstheme="minorHAnsi"/>
                <w:szCs w:val="22"/>
              </w:rPr>
            </w:pPr>
            <w:r w:rsidRPr="008F2106">
              <w:rPr>
                <w:rFonts w:cstheme="minorHAnsi"/>
                <w:szCs w:val="22"/>
              </w:rPr>
              <w:t>Critical quality attribute (CQA). CQAs are essential to guarantee product safety and product quality. CQA’s include CTS’s, CTQ’s, and KPI’s (Key Process Indicators). By requirement, CQA’s are fully verified in routine production unless the process is validated.</w:t>
            </w:r>
          </w:p>
        </w:tc>
      </w:tr>
      <w:tr w14:paraId="522D51C9" w14:textId="77777777">
        <w:tblPrEx>
          <w:tblW w:w="8730" w:type="dxa"/>
          <w:tblInd w:w="-5" w:type="dxa"/>
          <w:tblLook w:val="04A0"/>
        </w:tblPrEx>
        <w:tc>
          <w:tcPr>
            <w:tcW w:w="1663" w:type="dxa"/>
          </w:tcPr>
          <w:p w:rsidR="00464AC9" w:rsidRPr="008F2106" w:rsidP="005C08EE" w14:paraId="4A163D96" w14:textId="77777777">
            <w:pPr>
              <w:rPr>
                <w:rFonts w:cstheme="minorHAnsi"/>
                <w:szCs w:val="22"/>
              </w:rPr>
            </w:pPr>
            <w:r w:rsidRPr="008F2106">
              <w:rPr>
                <w:rFonts w:cstheme="minorHAnsi"/>
                <w:szCs w:val="22"/>
              </w:rPr>
              <w:t>CTQ</w:t>
            </w:r>
          </w:p>
        </w:tc>
        <w:tc>
          <w:tcPr>
            <w:tcW w:w="7067" w:type="dxa"/>
          </w:tcPr>
          <w:p w:rsidR="00464AC9" w:rsidRPr="008F2106" w:rsidP="005C08EE" w14:paraId="52459336" w14:textId="77777777">
            <w:pPr>
              <w:rPr>
                <w:rFonts w:cstheme="minorHAnsi"/>
                <w:szCs w:val="22"/>
              </w:rPr>
            </w:pPr>
            <w:r w:rsidRPr="008F2106">
              <w:rPr>
                <w:rFonts w:cstheme="minorHAnsi"/>
                <w:szCs w:val="22"/>
              </w:rPr>
              <w:t>Critical to Quality:</w:t>
            </w:r>
            <w:r w:rsidRPr="008F2106">
              <w:rPr>
                <w:rFonts w:cstheme="minorHAnsi"/>
                <w:color w:val="000000" w:themeColor="text1"/>
                <w:kern w:val="24"/>
                <w:szCs w:val="22"/>
              </w:rPr>
              <w:t xml:space="preserve"> </w:t>
            </w:r>
            <w:r w:rsidRPr="008F2106">
              <w:rPr>
                <w:rFonts w:cstheme="minorHAnsi"/>
                <w:szCs w:val="22"/>
              </w:rPr>
              <w:t>A characteristic is classified as CTQ when failure to meet this requirement or design specification is conceivable and failure could lead to a severe negative impact on Quality, i.e., effectiveness, compliance or attractiveness of the product.</w:t>
            </w:r>
          </w:p>
        </w:tc>
      </w:tr>
      <w:tr w14:paraId="1D127BD7" w14:textId="77777777">
        <w:tblPrEx>
          <w:tblW w:w="8730" w:type="dxa"/>
          <w:tblInd w:w="-5" w:type="dxa"/>
          <w:tblLook w:val="04A0"/>
        </w:tblPrEx>
        <w:tc>
          <w:tcPr>
            <w:tcW w:w="1663" w:type="dxa"/>
          </w:tcPr>
          <w:p w:rsidR="00464AC9" w:rsidRPr="008F2106" w:rsidP="005C08EE" w14:paraId="2FA77DB0" w14:textId="77777777">
            <w:pPr>
              <w:rPr>
                <w:rFonts w:cstheme="minorHAnsi"/>
                <w:szCs w:val="22"/>
              </w:rPr>
            </w:pPr>
            <w:r w:rsidRPr="008F2106">
              <w:rPr>
                <w:rFonts w:cstheme="minorHAnsi"/>
                <w:szCs w:val="22"/>
              </w:rPr>
              <w:t>CTS</w:t>
            </w:r>
          </w:p>
        </w:tc>
        <w:tc>
          <w:tcPr>
            <w:tcW w:w="7067" w:type="dxa"/>
          </w:tcPr>
          <w:p w:rsidR="00464AC9" w:rsidRPr="008F2106" w:rsidP="005C08EE" w14:paraId="478D9178" w14:textId="77777777">
            <w:pPr>
              <w:rPr>
                <w:rFonts w:cstheme="minorHAnsi"/>
                <w:szCs w:val="22"/>
              </w:rPr>
            </w:pPr>
            <w:r w:rsidRPr="008F2106">
              <w:rPr>
                <w:rFonts w:cstheme="minorHAnsi"/>
                <w:szCs w:val="22"/>
              </w:rPr>
              <w:t>Critical to Safety:</w:t>
            </w:r>
            <w:r w:rsidRPr="008F2106">
              <w:rPr>
                <w:rFonts w:cstheme="minorHAnsi"/>
                <w:color w:val="000000" w:themeColor="text1"/>
                <w:kern w:val="24"/>
                <w:szCs w:val="22"/>
              </w:rPr>
              <w:t xml:space="preserve"> </w:t>
            </w:r>
            <w:r w:rsidRPr="008F2106">
              <w:rPr>
                <w:rFonts w:cstheme="minorHAnsi"/>
                <w:szCs w:val="22"/>
              </w:rPr>
              <w:t xml:space="preserve">A characteristic is classified as CTS when failure to meet this requirement or design specification is conceivable and failure could lead </w:t>
            </w:r>
            <w:r w:rsidRPr="008F2106">
              <w:rPr>
                <w:rFonts w:cstheme="minorHAnsi"/>
                <w:szCs w:val="22"/>
              </w:rPr>
              <w:t>to serious* harm to the patient, user, property or the environment (* S3 or S4).</w:t>
            </w:r>
          </w:p>
        </w:tc>
      </w:tr>
      <w:tr w14:paraId="70B1EDEC" w14:textId="77777777">
        <w:tblPrEx>
          <w:tblW w:w="8730" w:type="dxa"/>
          <w:tblInd w:w="-5" w:type="dxa"/>
          <w:tblLook w:val="04A0"/>
        </w:tblPrEx>
        <w:tc>
          <w:tcPr>
            <w:tcW w:w="1663" w:type="dxa"/>
          </w:tcPr>
          <w:p w:rsidR="00464AC9" w:rsidRPr="008F2106" w:rsidP="005C08EE" w14:paraId="6925B960" w14:textId="77777777">
            <w:pPr>
              <w:rPr>
                <w:rFonts w:cstheme="minorHAnsi"/>
                <w:lang w:eastAsia="nl-NL"/>
              </w:rPr>
            </w:pPr>
            <w:r w:rsidRPr="008F2106">
              <w:rPr>
                <w:rFonts w:cstheme="minorHAnsi"/>
              </w:rPr>
              <w:t>Deviation</w:t>
            </w:r>
          </w:p>
        </w:tc>
        <w:tc>
          <w:tcPr>
            <w:tcW w:w="7067" w:type="dxa"/>
          </w:tcPr>
          <w:p w:rsidR="00464AC9" w:rsidRPr="008F2106" w:rsidP="005C08EE" w14:paraId="674582A5" w14:textId="77777777">
            <w:pPr>
              <w:rPr>
                <w:rFonts w:cstheme="minorHAnsi"/>
                <w:lang w:eastAsia="nl-NL"/>
              </w:rPr>
            </w:pPr>
            <w:r w:rsidRPr="008F2106">
              <w:rPr>
                <w:rFonts w:cstheme="minorHAnsi"/>
                <w:color w:val="000000"/>
                <w:shd w:val="clear" w:color="auto" w:fill="FFFFFF"/>
              </w:rPr>
              <w:t>Deviation means not following the prescribed protocol, e.g., sequence, materials, equipment, methods, or acceptance criteria during execution. All deviations must have an evaluation and / or assessment of the impact of the deviation.</w:t>
            </w:r>
          </w:p>
        </w:tc>
      </w:tr>
      <w:tr w14:paraId="7527C770" w14:textId="77777777">
        <w:tblPrEx>
          <w:tblW w:w="8730" w:type="dxa"/>
          <w:tblInd w:w="-5" w:type="dxa"/>
          <w:tblLook w:val="04A0"/>
        </w:tblPrEx>
        <w:tc>
          <w:tcPr>
            <w:tcW w:w="1663" w:type="dxa"/>
          </w:tcPr>
          <w:p w:rsidR="00464AC9" w:rsidRPr="008F2106" w:rsidP="005C08EE" w14:paraId="75016BD8" w14:textId="77777777">
            <w:pPr>
              <w:rPr>
                <w:rFonts w:cstheme="minorHAnsi"/>
              </w:rPr>
            </w:pPr>
            <w:r w:rsidRPr="008F2106">
              <w:rPr>
                <w:rFonts w:cstheme="minorHAnsi"/>
              </w:rPr>
              <w:t>Disposition of Materials</w:t>
            </w:r>
          </w:p>
        </w:tc>
        <w:tc>
          <w:tcPr>
            <w:tcW w:w="7067" w:type="dxa"/>
          </w:tcPr>
          <w:p w:rsidR="00464AC9" w:rsidRPr="008F2106" w:rsidP="005C08EE" w14:paraId="52933A13" w14:textId="77777777">
            <w:pPr>
              <w:rPr>
                <w:rFonts w:cstheme="minorHAnsi"/>
                <w:color w:val="000000"/>
                <w:shd w:val="clear" w:color="auto" w:fill="FFFFFF"/>
              </w:rPr>
            </w:pPr>
            <w:r w:rsidRPr="008F2106">
              <w:rPr>
                <w:rFonts w:cstheme="minorHAnsi"/>
                <w:color w:val="000000"/>
                <w:shd w:val="clear" w:color="auto" w:fill="FFFFFF"/>
              </w:rPr>
              <w:t>In the context of process validation, “disposition of materials” is the definition (and execution) of a predetermined arrangement/plan for how to manage parts/elements/products used in a process validation context. The disposition of materials should be defined prior to the execution of a process validation activity, and the execution of that disposition is performed after completion of the process validation activities.</w:t>
            </w:r>
          </w:p>
        </w:tc>
      </w:tr>
      <w:tr w14:paraId="39038A5A" w14:textId="77777777">
        <w:tblPrEx>
          <w:tblW w:w="8730" w:type="dxa"/>
          <w:tblInd w:w="-5" w:type="dxa"/>
          <w:tblLook w:val="04A0"/>
        </w:tblPrEx>
        <w:tc>
          <w:tcPr>
            <w:tcW w:w="1663" w:type="dxa"/>
          </w:tcPr>
          <w:p w:rsidR="00464AC9" w:rsidRPr="008F2106" w:rsidP="005C08EE" w14:paraId="121AFA0B" w14:textId="77777777">
            <w:pPr>
              <w:rPr>
                <w:rFonts w:cstheme="minorHAnsi"/>
              </w:rPr>
            </w:pPr>
            <w:r w:rsidRPr="008F2106">
              <w:rPr>
                <w:rFonts w:cstheme="minorHAnsi"/>
              </w:rPr>
              <w:t>DMR</w:t>
            </w:r>
          </w:p>
        </w:tc>
        <w:tc>
          <w:tcPr>
            <w:tcW w:w="7067" w:type="dxa"/>
          </w:tcPr>
          <w:p w:rsidR="00464AC9" w:rsidRPr="008F2106" w:rsidP="005C08EE" w14:paraId="2FF73045" w14:textId="77777777">
            <w:pPr>
              <w:rPr>
                <w:rFonts w:cstheme="minorHAnsi"/>
                <w:color w:val="000000"/>
                <w:shd w:val="clear" w:color="auto" w:fill="FFFFFF"/>
              </w:rPr>
            </w:pPr>
            <w:r w:rsidRPr="008F2106">
              <w:rPr>
                <w:rFonts w:cstheme="minorHAnsi"/>
              </w:rPr>
              <w:t xml:space="preserve">Device Master Record: means a compilation of records containing the procedures and specifications for a finished device. </w:t>
            </w:r>
            <w:r w:rsidRPr="008F2106">
              <w:rPr>
                <w:rFonts w:cstheme="minorHAnsi"/>
                <w:color w:val="7F7F7F" w:themeColor="text1" w:themeTint="80"/>
              </w:rPr>
              <w:t>Source: 21 CFR 820.3 (j)</w:t>
            </w:r>
          </w:p>
        </w:tc>
      </w:tr>
      <w:tr w14:paraId="67725319" w14:textId="77777777">
        <w:tblPrEx>
          <w:tblW w:w="8730" w:type="dxa"/>
          <w:tblInd w:w="-5" w:type="dxa"/>
          <w:tblLook w:val="04A0"/>
        </w:tblPrEx>
        <w:tc>
          <w:tcPr>
            <w:tcW w:w="1663" w:type="dxa"/>
          </w:tcPr>
          <w:p w:rsidR="00464AC9" w:rsidRPr="008F2106" w:rsidP="005C08EE" w14:paraId="57DF7CE1" w14:textId="77777777">
            <w:pPr>
              <w:rPr>
                <w:rFonts w:cstheme="minorHAnsi"/>
                <w:lang w:eastAsia="nl-NL"/>
              </w:rPr>
            </w:pPr>
            <w:r w:rsidRPr="008F2106">
              <w:rPr>
                <w:rFonts w:cstheme="minorHAnsi"/>
                <w:lang w:eastAsia="nl-NL"/>
              </w:rPr>
              <w:t>Factors</w:t>
            </w:r>
          </w:p>
        </w:tc>
        <w:tc>
          <w:tcPr>
            <w:tcW w:w="7067" w:type="dxa"/>
          </w:tcPr>
          <w:p w:rsidR="00464AC9" w:rsidRPr="008F2106" w:rsidP="005C08EE" w14:paraId="33C6A9F1" w14:textId="77777777">
            <w:pPr>
              <w:rPr>
                <w:rFonts w:cstheme="minorHAnsi"/>
                <w:lang w:eastAsia="nl-NL"/>
              </w:rPr>
            </w:pPr>
            <w:r w:rsidRPr="008F2106">
              <w:rPr>
                <w:rFonts w:cstheme="minorHAnsi"/>
                <w:lang w:eastAsia="nl-NL"/>
              </w:rPr>
              <w:t>Inputs inherent to the process that impact the nature of the manufacturing process (i.e., temperature, pressure, time, shift, type of material). The factors are the independent variables manipulated during the experiment.</w:t>
            </w:r>
          </w:p>
        </w:tc>
      </w:tr>
      <w:tr w14:paraId="710C5068" w14:textId="77777777">
        <w:tblPrEx>
          <w:tblW w:w="8730" w:type="dxa"/>
          <w:tblInd w:w="-5" w:type="dxa"/>
          <w:tblLook w:val="04A0"/>
        </w:tblPrEx>
        <w:tc>
          <w:tcPr>
            <w:tcW w:w="1663" w:type="dxa"/>
          </w:tcPr>
          <w:p w:rsidR="00464AC9" w:rsidRPr="008F2106" w:rsidP="005C08EE" w14:paraId="27EACA0A" w14:textId="77777777">
            <w:pPr>
              <w:rPr>
                <w:rFonts w:cstheme="minorHAnsi"/>
              </w:rPr>
            </w:pPr>
            <w:r w:rsidRPr="008F2106">
              <w:rPr>
                <w:rFonts w:cstheme="minorHAnsi"/>
              </w:rPr>
              <w:t>Failure</w:t>
            </w:r>
          </w:p>
        </w:tc>
        <w:tc>
          <w:tcPr>
            <w:tcW w:w="7067" w:type="dxa"/>
          </w:tcPr>
          <w:p w:rsidR="00464AC9" w:rsidRPr="008F2106" w:rsidP="005C08EE" w14:paraId="7555A0F2" w14:textId="77777777">
            <w:pPr>
              <w:rPr>
                <w:rFonts w:cstheme="minorHAnsi"/>
                <w:color w:val="000000"/>
                <w:shd w:val="clear" w:color="auto" w:fill="FFFFFF"/>
              </w:rPr>
            </w:pPr>
            <w:r w:rsidRPr="008F2106">
              <w:rPr>
                <w:rFonts w:cstheme="minorHAnsi"/>
                <w:color w:val="000000"/>
                <w:shd w:val="clear" w:color="auto" w:fill="FFFFFF"/>
              </w:rPr>
              <w:t>Failure means that one or more of the following (but not limited to) are not met: requirement, acceptance criteria, defined activity, and / or prerequisite. Failure requires revalidation.</w:t>
            </w:r>
          </w:p>
        </w:tc>
      </w:tr>
      <w:tr w14:paraId="42F91ABB" w14:textId="77777777">
        <w:tblPrEx>
          <w:tblW w:w="8730" w:type="dxa"/>
          <w:tblInd w:w="-5" w:type="dxa"/>
          <w:tblLook w:val="04A0"/>
        </w:tblPrEx>
        <w:tc>
          <w:tcPr>
            <w:tcW w:w="1663" w:type="dxa"/>
          </w:tcPr>
          <w:p w:rsidR="00464AC9" w:rsidRPr="008F2106" w:rsidP="005C08EE" w14:paraId="0075A696" w14:textId="77777777">
            <w:pPr>
              <w:rPr>
                <w:rFonts w:cstheme="minorHAnsi"/>
              </w:rPr>
            </w:pPr>
            <w:r w:rsidRPr="008F2106">
              <w:rPr>
                <w:rFonts w:cstheme="minorHAnsi"/>
              </w:rPr>
              <w:t>FMEA</w:t>
            </w:r>
          </w:p>
        </w:tc>
        <w:tc>
          <w:tcPr>
            <w:tcW w:w="7067" w:type="dxa"/>
          </w:tcPr>
          <w:p w:rsidR="00464AC9" w:rsidRPr="008F2106" w:rsidP="005C08EE" w14:paraId="3C848542" w14:textId="77777777">
            <w:pPr>
              <w:rPr>
                <w:rFonts w:cstheme="minorHAnsi"/>
                <w:color w:val="000000"/>
                <w:shd w:val="clear" w:color="auto" w:fill="FFFFFF"/>
              </w:rPr>
            </w:pPr>
            <w:r w:rsidRPr="008F2106">
              <w:rPr>
                <w:rFonts w:cstheme="minorHAnsi"/>
              </w:rPr>
              <w:t>Failure Mode and Effects Analysis.</w:t>
            </w:r>
          </w:p>
        </w:tc>
      </w:tr>
      <w:tr w14:paraId="2F5BE732" w14:textId="77777777">
        <w:tblPrEx>
          <w:tblW w:w="8730" w:type="dxa"/>
          <w:tblInd w:w="-5" w:type="dxa"/>
          <w:tblLook w:val="04A0"/>
        </w:tblPrEx>
        <w:tc>
          <w:tcPr>
            <w:tcW w:w="1663" w:type="dxa"/>
          </w:tcPr>
          <w:p w:rsidR="00464AC9" w:rsidRPr="008F2106" w:rsidP="005C08EE" w14:paraId="6983507F" w14:textId="77777777">
            <w:pPr>
              <w:rPr>
                <w:rFonts w:cstheme="minorHAnsi"/>
              </w:rPr>
            </w:pPr>
            <w:r w:rsidRPr="008F2106">
              <w:rPr>
                <w:rFonts w:cstheme="minorHAnsi"/>
                <w:lang w:eastAsia="nl-NL"/>
              </w:rPr>
              <w:t>IM&amp;TE</w:t>
            </w:r>
          </w:p>
        </w:tc>
        <w:tc>
          <w:tcPr>
            <w:tcW w:w="7067" w:type="dxa"/>
          </w:tcPr>
          <w:p w:rsidR="00464AC9" w:rsidRPr="008F2106" w:rsidP="005C08EE" w14:paraId="6DB40CCC" w14:textId="77777777">
            <w:pPr>
              <w:rPr>
                <w:rFonts w:cstheme="minorHAnsi"/>
              </w:rPr>
            </w:pPr>
            <w:r w:rsidRPr="008F2106">
              <w:rPr>
                <w:rFonts w:cstheme="minorHAnsi"/>
              </w:rPr>
              <w:t>Inspection, Measurement and Testing Equipment</w:t>
            </w:r>
          </w:p>
        </w:tc>
      </w:tr>
      <w:tr w14:paraId="07C5A00E" w14:textId="77777777">
        <w:tblPrEx>
          <w:tblW w:w="8730" w:type="dxa"/>
          <w:tblInd w:w="-5" w:type="dxa"/>
          <w:tblLook w:val="04A0"/>
        </w:tblPrEx>
        <w:tc>
          <w:tcPr>
            <w:tcW w:w="1663" w:type="dxa"/>
          </w:tcPr>
          <w:p w:rsidR="00464AC9" w:rsidRPr="008F2106" w:rsidP="005C08EE" w14:paraId="73C13104" w14:textId="77777777">
            <w:pPr>
              <w:rPr>
                <w:rFonts w:cstheme="minorHAnsi"/>
                <w:lang w:eastAsia="nl-NL"/>
              </w:rPr>
            </w:pPr>
            <w:r w:rsidRPr="008F2106">
              <w:rPr>
                <w:rFonts w:cstheme="minorHAnsi"/>
                <w:lang w:eastAsia="nl-NL"/>
              </w:rPr>
              <w:t>Inspection Lot Size</w:t>
            </w:r>
          </w:p>
        </w:tc>
        <w:tc>
          <w:tcPr>
            <w:tcW w:w="7067" w:type="dxa"/>
          </w:tcPr>
          <w:p w:rsidR="00464AC9" w:rsidRPr="008F2106" w:rsidP="005C08EE" w14:paraId="55826E13" w14:textId="77777777">
            <w:pPr>
              <w:rPr>
                <w:rFonts w:cstheme="minorHAnsi"/>
              </w:rPr>
            </w:pPr>
            <w:r w:rsidRPr="008F2106">
              <w:rPr>
                <w:rFonts w:cstheme="minorHAnsi"/>
              </w:rPr>
              <w:t xml:space="preserve">When a sampling plan is applied in manufacturing the sample size and acceptance criteria is applied to an inspection lot. The inspection lot is defined as a group of material that is to be accepted or rejected as a group. It may also be a period such as 8 hours of production. The inspection lot should be expected to be of similar quality </w:t>
            </w:r>
            <w:r w:rsidRPr="008F2106">
              <w:rPr>
                <w:rFonts w:cstheme="minorHAnsi"/>
                <w:color w:val="7F7F7F" w:themeColor="text1" w:themeTint="80"/>
              </w:rPr>
              <w:t>[Ref 2].</w:t>
            </w:r>
          </w:p>
        </w:tc>
      </w:tr>
      <w:tr w14:paraId="4575ED03" w14:textId="77777777">
        <w:tblPrEx>
          <w:tblW w:w="8730" w:type="dxa"/>
          <w:tblInd w:w="-5" w:type="dxa"/>
          <w:tblLook w:val="04A0"/>
        </w:tblPrEx>
        <w:tc>
          <w:tcPr>
            <w:tcW w:w="1663" w:type="dxa"/>
          </w:tcPr>
          <w:p w:rsidR="00464AC9" w:rsidRPr="008F2106" w:rsidP="005C08EE" w14:paraId="4399E1B2" w14:textId="77777777">
            <w:pPr>
              <w:rPr>
                <w:rFonts w:cstheme="minorHAnsi"/>
                <w:lang w:eastAsia="nl-NL"/>
              </w:rPr>
            </w:pPr>
            <w:r w:rsidRPr="008F2106">
              <w:rPr>
                <w:rFonts w:cstheme="minorHAnsi"/>
                <w:lang w:eastAsia="nl-NL"/>
              </w:rPr>
              <w:t>IQ</w:t>
            </w:r>
          </w:p>
        </w:tc>
        <w:tc>
          <w:tcPr>
            <w:tcW w:w="7067" w:type="dxa"/>
          </w:tcPr>
          <w:p w:rsidR="00464AC9" w:rsidRPr="008F2106" w:rsidP="005C08EE" w14:paraId="017454BE" w14:textId="77777777">
            <w:r w:rsidRPr="008F2106">
              <w:t>Installation Qualification: establishing by objective evidence that all key aspects of the process equipment and ancillary system installation adhere to the manufacturer’s approved specification and that the recommendations of the supplier of the equipment are suitably considered.</w:t>
            </w:r>
          </w:p>
          <w:p w:rsidR="00464AC9" w:rsidRPr="008F2106" w:rsidP="005C08EE" w14:paraId="66E39FCA" w14:textId="77777777">
            <w:pPr>
              <w:rPr>
                <w:color w:val="7F7F7F" w:themeColor="text1" w:themeTint="80"/>
              </w:rPr>
            </w:pPr>
            <w:r w:rsidRPr="008F2106">
              <w:rPr>
                <w:color w:val="7F7F7F" w:themeColor="text1" w:themeTint="80"/>
              </w:rPr>
              <w:t>(GHTF/SG3/N99: 2004 ed 2)</w:t>
            </w:r>
            <w:r w:rsidRPr="008F2106">
              <w:rPr>
                <w:rFonts w:cstheme="minorHAnsi"/>
                <w:lang w:eastAsia="nl-NL"/>
              </w:rPr>
              <w:t xml:space="preserve"> </w:t>
            </w:r>
          </w:p>
        </w:tc>
      </w:tr>
      <w:tr w14:paraId="2E34952F" w14:textId="77777777">
        <w:tblPrEx>
          <w:tblW w:w="8730" w:type="dxa"/>
          <w:tblInd w:w="-5" w:type="dxa"/>
          <w:tblLook w:val="04A0"/>
        </w:tblPrEx>
        <w:tc>
          <w:tcPr>
            <w:tcW w:w="1663" w:type="dxa"/>
          </w:tcPr>
          <w:p w:rsidR="00464AC9" w:rsidRPr="008F2106" w:rsidP="005C08EE" w14:paraId="58126F38" w14:textId="77777777">
            <w:pPr>
              <w:rPr>
                <w:rFonts w:cstheme="minorHAnsi"/>
                <w:lang w:eastAsia="nl-NL"/>
              </w:rPr>
            </w:pPr>
            <w:r w:rsidRPr="008F2106">
              <w:rPr>
                <w:rFonts w:cstheme="minorHAnsi"/>
                <w:lang w:eastAsia="nl-NL"/>
              </w:rPr>
              <w:t>KPI</w:t>
            </w:r>
          </w:p>
        </w:tc>
        <w:tc>
          <w:tcPr>
            <w:tcW w:w="7067" w:type="dxa"/>
          </w:tcPr>
          <w:p w:rsidR="00464AC9" w:rsidRPr="008F2106" w:rsidP="005C08EE" w14:paraId="56419D18" w14:textId="4651E829">
            <w:r w:rsidRPr="008F2106">
              <w:t>Key Process Indicator.</w:t>
            </w:r>
          </w:p>
        </w:tc>
      </w:tr>
      <w:tr w14:paraId="308B82BE" w14:textId="77777777">
        <w:tblPrEx>
          <w:tblW w:w="8730" w:type="dxa"/>
          <w:tblInd w:w="-5" w:type="dxa"/>
          <w:tblLook w:val="04A0"/>
        </w:tblPrEx>
        <w:tc>
          <w:tcPr>
            <w:tcW w:w="1663" w:type="dxa"/>
          </w:tcPr>
          <w:p w:rsidR="00464AC9" w:rsidRPr="008F2106" w:rsidP="005C08EE" w14:paraId="324C0265" w14:textId="77777777">
            <w:pPr>
              <w:rPr>
                <w:rFonts w:cstheme="minorHAnsi"/>
                <w:lang w:eastAsia="nl-NL"/>
              </w:rPr>
            </w:pPr>
            <w:r w:rsidRPr="008F2106">
              <w:rPr>
                <w:rFonts w:cstheme="minorHAnsi"/>
                <w:lang w:eastAsia="nl-NL"/>
              </w:rPr>
              <w:t>LSL</w:t>
            </w:r>
          </w:p>
        </w:tc>
        <w:tc>
          <w:tcPr>
            <w:tcW w:w="7067" w:type="dxa"/>
          </w:tcPr>
          <w:p w:rsidR="00464AC9" w:rsidRPr="008F2106" w:rsidP="005C08EE" w14:paraId="290499C2" w14:textId="77777777">
            <w:pPr>
              <w:rPr>
                <w:rFonts w:cstheme="minorHAnsi"/>
                <w:lang w:eastAsia="nl-NL"/>
              </w:rPr>
            </w:pPr>
            <w:r w:rsidRPr="008F2106">
              <w:rPr>
                <w:rFonts w:cstheme="minorHAnsi"/>
                <w:lang w:eastAsia="nl-NL"/>
              </w:rPr>
              <w:t>Lower Specification Limit</w:t>
            </w:r>
          </w:p>
        </w:tc>
      </w:tr>
      <w:tr w14:paraId="665AFE08" w14:textId="77777777">
        <w:tblPrEx>
          <w:tblW w:w="8730" w:type="dxa"/>
          <w:tblInd w:w="-5" w:type="dxa"/>
          <w:tblLook w:val="04A0"/>
        </w:tblPrEx>
        <w:tc>
          <w:tcPr>
            <w:tcW w:w="1663" w:type="dxa"/>
          </w:tcPr>
          <w:p w:rsidR="00464AC9" w:rsidRPr="008F2106" w:rsidP="005C08EE" w14:paraId="73236FA3" w14:textId="77777777">
            <w:pPr>
              <w:rPr>
                <w:rFonts w:cstheme="minorHAnsi"/>
              </w:rPr>
            </w:pPr>
            <w:r w:rsidRPr="008F2106">
              <w:rPr>
                <w:rFonts w:cstheme="minorHAnsi"/>
              </w:rPr>
              <w:t>Operating Limits</w:t>
            </w:r>
          </w:p>
        </w:tc>
        <w:tc>
          <w:tcPr>
            <w:tcW w:w="7067" w:type="dxa"/>
          </w:tcPr>
          <w:p w:rsidR="00464AC9" w:rsidRPr="008F2106" w:rsidP="005C08EE" w14:paraId="317EBE65" w14:textId="77777777">
            <w:pPr>
              <w:rPr>
                <w:rFonts w:cstheme="minorHAnsi"/>
              </w:rPr>
            </w:pPr>
            <w:r w:rsidRPr="008F2106">
              <w:rPr>
                <w:rFonts w:cstheme="minorHAnsi"/>
              </w:rPr>
              <w:t>Limits for the process inputs that are established during process characterization and challenged during OQ.</w:t>
            </w:r>
          </w:p>
        </w:tc>
      </w:tr>
      <w:tr w14:paraId="2023BC18" w14:textId="77777777">
        <w:tblPrEx>
          <w:tblW w:w="8730" w:type="dxa"/>
          <w:tblInd w:w="-5" w:type="dxa"/>
          <w:tblLook w:val="04A0"/>
        </w:tblPrEx>
        <w:tc>
          <w:tcPr>
            <w:tcW w:w="1663" w:type="dxa"/>
          </w:tcPr>
          <w:p w:rsidR="00464AC9" w:rsidRPr="008F2106" w:rsidP="005C08EE" w14:paraId="4BD074D6" w14:textId="77777777">
            <w:pPr>
              <w:rPr>
                <w:rFonts w:cstheme="minorHAnsi"/>
                <w:lang w:eastAsia="nl-NL"/>
              </w:rPr>
            </w:pPr>
            <w:r w:rsidRPr="008F2106">
              <w:rPr>
                <w:rFonts w:cstheme="minorHAnsi"/>
                <w:lang w:eastAsia="nl-NL"/>
              </w:rPr>
              <w:t>OQ</w:t>
            </w:r>
          </w:p>
        </w:tc>
        <w:tc>
          <w:tcPr>
            <w:tcW w:w="7067" w:type="dxa"/>
          </w:tcPr>
          <w:p w:rsidR="00464AC9" w:rsidRPr="008F2106" w:rsidP="005C08EE" w14:paraId="171F2038" w14:textId="77777777">
            <w:pPr>
              <w:pStyle w:val="BodyText2"/>
              <w:spacing w:after="0" w:line="240" w:lineRule="auto"/>
              <w:contextualSpacing/>
            </w:pPr>
            <w:r w:rsidRPr="008F2106">
              <w:t>Operational qualification: T</w:t>
            </w:r>
            <w:r w:rsidRPr="008F2106">
              <w:rPr>
                <w:rFonts w:ascii="Calibri" w:hAnsi="Calibri" w:cs="Calibri"/>
              </w:rPr>
              <w:t>o challenge and confirm, with objective evidence, that process operating limits, process control limits, and action levels identified during Process Characterization, results in product that meets all predetermined requirements.</w:t>
            </w:r>
          </w:p>
        </w:tc>
      </w:tr>
      <w:tr w14:paraId="748FBE42" w14:textId="77777777">
        <w:tblPrEx>
          <w:tblW w:w="8730" w:type="dxa"/>
          <w:tblInd w:w="-5" w:type="dxa"/>
          <w:tblLook w:val="04A0"/>
        </w:tblPrEx>
        <w:tc>
          <w:tcPr>
            <w:tcW w:w="1663" w:type="dxa"/>
          </w:tcPr>
          <w:p w:rsidR="00464AC9" w:rsidRPr="008F2106" w:rsidP="005C08EE" w14:paraId="15F39D98" w14:textId="77777777">
            <w:pPr>
              <w:rPr>
                <w:rFonts w:cstheme="minorHAnsi"/>
                <w:lang w:eastAsia="nl-NL"/>
              </w:rPr>
            </w:pPr>
            <w:r w:rsidRPr="008F2106">
              <w:rPr>
                <w:rFonts w:cstheme="minorHAnsi"/>
                <w:lang w:eastAsia="nl-NL"/>
              </w:rPr>
              <w:t>PD</w:t>
            </w:r>
          </w:p>
        </w:tc>
        <w:tc>
          <w:tcPr>
            <w:tcW w:w="7067" w:type="dxa"/>
          </w:tcPr>
          <w:p w:rsidR="00464AC9" w:rsidRPr="008F2106" w:rsidP="005C08EE" w14:paraId="3DF17E86" w14:textId="77777777">
            <w:pPr>
              <w:rPr>
                <w:rFonts w:cstheme="minorHAnsi"/>
                <w:lang w:eastAsia="nl-NL"/>
              </w:rPr>
            </w:pPr>
            <w:r w:rsidRPr="008F2106">
              <w:rPr>
                <w:rFonts w:cstheme="minorHAnsi"/>
                <w:lang w:eastAsia="nl-NL"/>
              </w:rPr>
              <w:t>Process Design: Process design is the activity of defining the commercial manufacturing process. The goal of process design is to develop a process suitable for routine commercial manufacturing that can consistently deliver a product that meets its quality attributes.</w:t>
            </w:r>
          </w:p>
        </w:tc>
      </w:tr>
      <w:tr w14:paraId="1463648F" w14:textId="77777777">
        <w:tblPrEx>
          <w:tblW w:w="8730" w:type="dxa"/>
          <w:tblInd w:w="-5" w:type="dxa"/>
          <w:tblLook w:val="04A0"/>
        </w:tblPrEx>
        <w:tc>
          <w:tcPr>
            <w:tcW w:w="1663" w:type="dxa"/>
          </w:tcPr>
          <w:p w:rsidR="00464AC9" w:rsidRPr="008F2106" w:rsidP="005C08EE" w14:paraId="4982D32D" w14:textId="77777777">
            <w:pPr>
              <w:rPr>
                <w:rFonts w:cstheme="minorHAnsi"/>
                <w:lang w:eastAsia="nl-NL"/>
              </w:rPr>
            </w:pPr>
            <w:r w:rsidRPr="008F2106">
              <w:rPr>
                <w:rFonts w:cstheme="minorHAnsi"/>
                <w:lang w:eastAsia="nl-NL"/>
              </w:rPr>
              <w:t>PC</w:t>
            </w:r>
          </w:p>
        </w:tc>
        <w:tc>
          <w:tcPr>
            <w:tcW w:w="7067" w:type="dxa"/>
          </w:tcPr>
          <w:p w:rsidR="00464AC9" w:rsidRPr="008F2106" w:rsidP="005C08EE" w14:paraId="3AEC4016" w14:textId="77777777">
            <w:pPr>
              <w:rPr>
                <w:rFonts w:cstheme="minorHAnsi"/>
                <w:lang w:eastAsia="nl-NL"/>
              </w:rPr>
            </w:pPr>
            <w:r w:rsidRPr="008F2106">
              <w:rPr>
                <w:rFonts w:cstheme="minorHAnsi"/>
              </w:rPr>
              <w:t xml:space="preserve">Process Characterization: Collection of studies to support identification of significant process input windows during process development or </w:t>
            </w:r>
            <w:r w:rsidRPr="008F2106">
              <w:rPr>
                <w:rFonts w:cstheme="minorHAnsi"/>
              </w:rPr>
              <w:t>modification, to be then confirmed and validated through the completion of the operational qualification (OQ) runs.</w:t>
            </w:r>
          </w:p>
        </w:tc>
      </w:tr>
      <w:tr w14:paraId="162A4D51" w14:textId="77777777">
        <w:tblPrEx>
          <w:tblW w:w="8730" w:type="dxa"/>
          <w:tblInd w:w="-5" w:type="dxa"/>
          <w:tblLook w:val="04A0"/>
        </w:tblPrEx>
        <w:tc>
          <w:tcPr>
            <w:tcW w:w="1663" w:type="dxa"/>
          </w:tcPr>
          <w:p w:rsidR="00464AC9" w:rsidRPr="008F2106" w:rsidP="005C08EE" w14:paraId="44159040" w14:textId="77777777">
            <w:pPr>
              <w:rPr>
                <w:rFonts w:cstheme="minorHAnsi"/>
                <w:lang w:eastAsia="nl-NL"/>
              </w:rPr>
            </w:pPr>
            <w:r w:rsidRPr="008F2106">
              <w:rPr>
                <w:rFonts w:cstheme="minorHAnsi"/>
                <w:lang w:eastAsia="nl-NL"/>
              </w:rPr>
              <w:t>PFMEA</w:t>
            </w:r>
          </w:p>
        </w:tc>
        <w:tc>
          <w:tcPr>
            <w:tcW w:w="7067" w:type="dxa"/>
          </w:tcPr>
          <w:p w:rsidR="00464AC9" w:rsidRPr="008F2106" w:rsidP="005C08EE" w14:paraId="0A4BB9F9" w14:textId="77777777">
            <w:pPr>
              <w:rPr>
                <w:rFonts w:cstheme="minorHAnsi"/>
              </w:rPr>
            </w:pPr>
            <w:r w:rsidRPr="008F2106">
              <w:rPr>
                <w:rFonts w:cstheme="minorHAnsi"/>
              </w:rPr>
              <w:t>Process Failure Mode and Effects Analysis</w:t>
            </w:r>
          </w:p>
        </w:tc>
      </w:tr>
      <w:tr w14:paraId="638D477E" w14:textId="77777777">
        <w:tblPrEx>
          <w:tblW w:w="8730" w:type="dxa"/>
          <w:tblInd w:w="-5" w:type="dxa"/>
          <w:tblLook w:val="04A0"/>
        </w:tblPrEx>
        <w:tc>
          <w:tcPr>
            <w:tcW w:w="1663" w:type="dxa"/>
          </w:tcPr>
          <w:p w:rsidR="00464AC9" w:rsidRPr="008F2106" w:rsidP="005C08EE" w14:paraId="6FE4D751" w14:textId="77777777">
            <w:pPr>
              <w:rPr>
                <w:rFonts w:cstheme="minorHAnsi"/>
                <w:lang w:eastAsia="nl-NL"/>
              </w:rPr>
            </w:pPr>
            <w:r w:rsidRPr="008F2106">
              <w:rPr>
                <w:rFonts w:cstheme="minorHAnsi"/>
                <w:lang w:eastAsia="nl-NL"/>
              </w:rPr>
              <w:t>PLC</w:t>
            </w:r>
          </w:p>
        </w:tc>
        <w:tc>
          <w:tcPr>
            <w:tcW w:w="7067" w:type="dxa"/>
          </w:tcPr>
          <w:p w:rsidR="00464AC9" w:rsidRPr="008F2106" w:rsidP="005C08EE" w14:paraId="392535CA" w14:textId="77777777">
            <w:pPr>
              <w:rPr>
                <w:rFonts w:cstheme="minorHAnsi"/>
              </w:rPr>
            </w:pPr>
            <w:r w:rsidRPr="008F2106">
              <w:rPr>
                <w:rFonts w:cstheme="minorHAnsi"/>
              </w:rPr>
              <w:t>Programmable Logic Controller</w:t>
            </w:r>
          </w:p>
        </w:tc>
      </w:tr>
      <w:tr w14:paraId="75B841CC" w14:textId="77777777">
        <w:tblPrEx>
          <w:tblW w:w="8730" w:type="dxa"/>
          <w:tblInd w:w="-5" w:type="dxa"/>
          <w:tblLook w:val="04A0"/>
        </w:tblPrEx>
        <w:tc>
          <w:tcPr>
            <w:tcW w:w="1663" w:type="dxa"/>
          </w:tcPr>
          <w:p w:rsidR="00464AC9" w:rsidRPr="008F2106" w:rsidP="005C08EE" w14:paraId="3DFCA70F" w14:textId="77777777">
            <w:pPr>
              <w:rPr>
                <w:rFonts w:cstheme="minorHAnsi"/>
                <w:lang w:eastAsia="nl-NL"/>
              </w:rPr>
            </w:pPr>
            <w:r w:rsidRPr="008F2106">
              <w:rPr>
                <w:rFonts w:cstheme="minorHAnsi"/>
              </w:rPr>
              <w:t>Pp</w:t>
            </w:r>
          </w:p>
        </w:tc>
        <w:tc>
          <w:tcPr>
            <w:tcW w:w="7067" w:type="dxa"/>
          </w:tcPr>
          <w:p w:rsidR="00464AC9" w:rsidRPr="008F2106" w:rsidP="005C08EE" w14:paraId="20A1AEB6" w14:textId="77777777">
            <w:pPr>
              <w:rPr>
                <w:rFonts w:cstheme="minorHAnsi"/>
                <w:lang w:eastAsia="nl-NL"/>
              </w:rPr>
            </w:pPr>
            <w:r w:rsidRPr="008F2106">
              <w:rPr>
                <w:rFonts w:cstheme="minorHAnsi"/>
              </w:rPr>
              <w:t>A capability index that compares the width of the specification limits to the width of the process (assumed to be 6 standard deviations wide). It assumes a two-sided specification limit. A value of 1 means the two widths are the same, making the specification limits 6 standard deviations wide. A value of 2 means the specification limits are twice as wide as the process, making the specification limits 12 standard deviations wide. A value of 0.5 means the specification limits are half as wide as the process, making the specification limits 3 standard deviations wide. Pp is a higher-the-better index.</w:t>
            </w:r>
          </w:p>
        </w:tc>
      </w:tr>
      <w:tr w14:paraId="03AFEAB7" w14:textId="77777777">
        <w:tblPrEx>
          <w:tblW w:w="8730" w:type="dxa"/>
          <w:tblInd w:w="-5" w:type="dxa"/>
          <w:tblLook w:val="04A0"/>
        </w:tblPrEx>
        <w:tc>
          <w:tcPr>
            <w:tcW w:w="1663" w:type="dxa"/>
          </w:tcPr>
          <w:p w:rsidR="00464AC9" w:rsidRPr="008F2106" w:rsidP="005C08EE" w14:paraId="38C12C77" w14:textId="77777777">
            <w:pPr>
              <w:rPr>
                <w:rFonts w:cstheme="minorHAnsi"/>
              </w:rPr>
            </w:pPr>
            <w:r w:rsidRPr="008F2106">
              <w:rPr>
                <w:rFonts w:cstheme="minorHAnsi"/>
              </w:rPr>
              <w:t>Ppk</w:t>
            </w:r>
          </w:p>
        </w:tc>
        <w:tc>
          <w:tcPr>
            <w:tcW w:w="7067" w:type="dxa"/>
          </w:tcPr>
          <w:p w:rsidR="00464AC9" w:rsidRPr="008F2106" w:rsidP="005C08EE" w14:paraId="65D3A6B9" w14:textId="77777777">
            <w:pPr>
              <w:rPr>
                <w:rFonts w:cstheme="minorHAnsi"/>
                <w:szCs w:val="22"/>
              </w:rPr>
            </w:pPr>
            <w:r w:rsidRPr="008F2106">
              <w:rPr>
                <w:bCs/>
                <w:szCs w:val="22"/>
              </w:rPr>
              <w:t>A capability index based on the distance to the nearest specification limit. The higher P</w:t>
            </w:r>
            <w:r w:rsidRPr="008F2106">
              <w:rPr>
                <w:bCs/>
                <w:szCs w:val="22"/>
                <w:vertAlign w:val="subscript"/>
              </w:rPr>
              <w:t>pk</w:t>
            </w:r>
            <w:r w:rsidRPr="008F2106">
              <w:rPr>
                <w:bCs/>
                <w:szCs w:val="22"/>
              </w:rPr>
              <w:t xml:space="preserve"> is, the further the process is from the nearest specification. P</w:t>
            </w:r>
            <w:r w:rsidRPr="008F2106">
              <w:rPr>
                <w:bCs/>
                <w:szCs w:val="22"/>
                <w:vertAlign w:val="subscript"/>
              </w:rPr>
              <w:t>pk</w:t>
            </w:r>
            <w:r w:rsidRPr="008F2106">
              <w:rPr>
                <w:bCs/>
                <w:szCs w:val="22"/>
              </w:rPr>
              <w:t xml:space="preserve"> is a higher-the-better index. A value of 1 means the average is 3 standard deviations from the specification limit. Assuming the normal distribution, this corresponds to 0.13%* nonconforming. A P</w:t>
            </w:r>
            <w:r w:rsidRPr="008F2106">
              <w:rPr>
                <w:bCs/>
                <w:szCs w:val="22"/>
                <w:vertAlign w:val="subscript"/>
              </w:rPr>
              <w:t>pk</w:t>
            </w:r>
            <w:r w:rsidRPr="008F2106">
              <w:rPr>
                <w:bCs/>
                <w:szCs w:val="22"/>
              </w:rPr>
              <w:t xml:space="preserve"> value of 1.333 means the average is 4 standard deviations from the specification limit. Assuming the normal distribution, this corresponds to 0.0032%* nonconforming or 32 defects per million (DPM). A P</w:t>
            </w:r>
            <w:r w:rsidRPr="008F2106">
              <w:rPr>
                <w:bCs/>
                <w:szCs w:val="22"/>
                <w:vertAlign w:val="subscript"/>
              </w:rPr>
              <w:t>pk</w:t>
            </w:r>
            <w:r w:rsidRPr="008F2106">
              <w:rPr>
                <w:bCs/>
                <w:szCs w:val="22"/>
              </w:rPr>
              <w:t xml:space="preserve"> value of 0.667 means the average is 2 standard deviations from the specification limit. Assuming the normal distribution, this corresponds to 2.3%* nonconforming (* - for one-sided specification).</w:t>
            </w:r>
          </w:p>
        </w:tc>
      </w:tr>
      <w:tr w14:paraId="06C66AFF" w14:textId="77777777">
        <w:tblPrEx>
          <w:tblW w:w="8730" w:type="dxa"/>
          <w:tblInd w:w="-5" w:type="dxa"/>
          <w:tblLook w:val="04A0"/>
        </w:tblPrEx>
        <w:tc>
          <w:tcPr>
            <w:tcW w:w="1663" w:type="dxa"/>
          </w:tcPr>
          <w:p w:rsidR="00464AC9" w:rsidRPr="008F2106" w:rsidP="005C08EE" w14:paraId="0ECC2A5A" w14:textId="77777777">
            <w:pPr>
              <w:rPr>
                <w:rFonts w:cstheme="minorHAnsi"/>
              </w:rPr>
            </w:pPr>
            <w:r w:rsidRPr="008F2106">
              <w:rPr>
                <w:rFonts w:cstheme="minorHAnsi"/>
              </w:rPr>
              <w:t>PQ</w:t>
            </w:r>
          </w:p>
        </w:tc>
        <w:tc>
          <w:tcPr>
            <w:tcW w:w="7067" w:type="dxa"/>
          </w:tcPr>
          <w:p w:rsidR="00464AC9" w:rsidRPr="008F2106" w:rsidP="005C08EE" w14:paraId="49817731" w14:textId="77777777">
            <w:pPr>
              <w:rPr>
                <w:rFonts w:cstheme="minorHAnsi"/>
              </w:rPr>
            </w:pPr>
            <w:r w:rsidRPr="008F2106">
              <w:rPr>
                <w:rFonts w:cstheme="minorHAnsi"/>
                <w:szCs w:val="22"/>
              </w:rPr>
              <w:t>Performance Qualification: establishing by objective evidence that the process, under anticipated conditions, consistently produces a product which meets all predetermined requirements.</w:t>
            </w:r>
            <w:r w:rsidRPr="008F2106">
              <w:rPr>
                <w:color w:val="7F7F7F" w:themeColor="text1" w:themeTint="80"/>
              </w:rPr>
              <w:t xml:space="preserve"> (GHTF/SG3/N99: 2004 ed 2)</w:t>
            </w:r>
          </w:p>
        </w:tc>
      </w:tr>
      <w:tr w14:paraId="6F8A9657" w14:textId="77777777">
        <w:tblPrEx>
          <w:tblW w:w="8730" w:type="dxa"/>
          <w:tblInd w:w="-5" w:type="dxa"/>
          <w:tblLook w:val="04A0"/>
        </w:tblPrEx>
        <w:tc>
          <w:tcPr>
            <w:tcW w:w="1663" w:type="dxa"/>
          </w:tcPr>
          <w:p w:rsidR="00464AC9" w:rsidRPr="008F2106" w:rsidP="005C08EE" w14:paraId="05036419" w14:textId="77777777">
            <w:pPr>
              <w:rPr>
                <w:rFonts w:cstheme="minorHAnsi"/>
              </w:rPr>
            </w:pPr>
            <w:r w:rsidRPr="008F2106">
              <w:rPr>
                <w:rFonts w:cstheme="minorHAnsi"/>
              </w:rPr>
              <w:t>Process Input</w:t>
            </w:r>
          </w:p>
        </w:tc>
        <w:tc>
          <w:tcPr>
            <w:tcW w:w="7067" w:type="dxa"/>
          </w:tcPr>
          <w:p w:rsidR="00464AC9" w:rsidRPr="008F2106" w:rsidP="005C08EE" w14:paraId="6E23D40B" w14:textId="77777777">
            <w:pPr>
              <w:rPr>
                <w:rFonts w:eastAsia="Calibri" w:cstheme="minorHAnsi"/>
                <w:color w:val="000000"/>
                <w:shd w:val="clear" w:color="auto" w:fill="FFFFFF"/>
              </w:rPr>
            </w:pPr>
            <w:r w:rsidRPr="008F2106">
              <w:rPr>
                <w:rFonts w:eastAsia="Calibri" w:cstheme="minorHAnsi"/>
                <w:color w:val="000000"/>
                <w:shd w:val="clear" w:color="auto" w:fill="FFFFFF"/>
              </w:rPr>
              <w:t>A process input refers to the materials, information, and resources that go into a process. It is supplied to the process from an external source. For instance, raw materials are considered a process input. The term process input is used interchangeably with process parameter in this document.</w:t>
            </w:r>
          </w:p>
        </w:tc>
      </w:tr>
      <w:tr w14:paraId="77741483" w14:textId="77777777">
        <w:tblPrEx>
          <w:tblW w:w="8730" w:type="dxa"/>
          <w:tblInd w:w="-5" w:type="dxa"/>
          <w:tblLook w:val="04A0"/>
        </w:tblPrEx>
        <w:tc>
          <w:tcPr>
            <w:tcW w:w="1663" w:type="dxa"/>
          </w:tcPr>
          <w:p w:rsidR="00464AC9" w:rsidRPr="008F2106" w:rsidP="005C08EE" w14:paraId="32B67A9F" w14:textId="77777777">
            <w:pPr>
              <w:rPr>
                <w:rFonts w:cstheme="minorHAnsi"/>
              </w:rPr>
            </w:pPr>
            <w:r w:rsidRPr="008F2106">
              <w:rPr>
                <w:rFonts w:cstheme="minorHAnsi"/>
              </w:rPr>
              <w:t>Process Input Control Limits</w:t>
            </w:r>
          </w:p>
        </w:tc>
        <w:tc>
          <w:tcPr>
            <w:tcW w:w="7067" w:type="dxa"/>
          </w:tcPr>
          <w:p w:rsidR="00464AC9" w:rsidRPr="008F2106" w:rsidP="005C08EE" w14:paraId="1D8AF8B6" w14:textId="77777777">
            <w:pPr>
              <w:rPr>
                <w:rFonts w:eastAsia="Calibri" w:cstheme="minorHAnsi"/>
                <w:color w:val="000000"/>
                <w:shd w:val="clear" w:color="auto" w:fill="FFFFFF"/>
              </w:rPr>
            </w:pPr>
            <w:r w:rsidRPr="008F2106">
              <w:rPr>
                <w:rFonts w:eastAsia="Calibri" w:cstheme="minorHAnsi"/>
                <w:color w:val="000000"/>
                <w:shd w:val="clear" w:color="auto" w:fill="FFFFFF"/>
              </w:rPr>
              <w:t xml:space="preserve">Process input data may be gathered and charted over time on control charts, and the upper and lower control limits are computed from available data. </w:t>
            </w:r>
            <w:r w:rsidRPr="008F2106">
              <w:rPr>
                <w:rFonts w:cstheme="minorHAnsi"/>
                <w:color w:val="000000"/>
                <w:shd w:val="clear" w:color="auto" w:fill="FFFFFF"/>
              </w:rPr>
              <w:t>When process input data follows a random distribution located within the control limits, the process input is said to be stable, consistent, and predictable. When process input data follow patterns or are located outside the control limits, the process input may no longer be stable or predictable.</w:t>
            </w:r>
          </w:p>
        </w:tc>
      </w:tr>
      <w:tr w14:paraId="7A1B6B58" w14:textId="77777777">
        <w:tblPrEx>
          <w:tblW w:w="8730" w:type="dxa"/>
          <w:tblInd w:w="-5" w:type="dxa"/>
          <w:tblLook w:val="04A0"/>
        </w:tblPrEx>
        <w:tc>
          <w:tcPr>
            <w:tcW w:w="1663" w:type="dxa"/>
          </w:tcPr>
          <w:p w:rsidR="00464AC9" w:rsidRPr="008F2106" w:rsidP="005C08EE" w14:paraId="3B43E0D9" w14:textId="77777777">
            <w:pPr>
              <w:rPr>
                <w:rFonts w:cstheme="minorHAnsi"/>
              </w:rPr>
            </w:pPr>
            <w:r w:rsidRPr="008F2106">
              <w:rPr>
                <w:rFonts w:cstheme="minorHAnsi"/>
              </w:rPr>
              <w:t>Process Output Control Limits</w:t>
            </w:r>
          </w:p>
        </w:tc>
        <w:tc>
          <w:tcPr>
            <w:tcW w:w="7067" w:type="dxa"/>
          </w:tcPr>
          <w:p w:rsidR="00464AC9" w:rsidRPr="008F2106" w:rsidP="005C08EE" w14:paraId="3615B708" w14:textId="77777777">
            <w:pPr>
              <w:rPr>
                <w:rFonts w:cstheme="minorHAnsi"/>
                <w:color w:val="000000"/>
                <w:shd w:val="clear" w:color="auto" w:fill="FFFFFF"/>
              </w:rPr>
            </w:pPr>
            <w:r w:rsidRPr="008F2106">
              <w:rPr>
                <w:rFonts w:cstheme="minorHAnsi"/>
                <w:color w:val="000000"/>
                <w:shd w:val="clear" w:color="auto" w:fill="FFFFFF"/>
              </w:rPr>
              <w:t>Process output data may be gathered and charted over time on control charts, and the upper and lower control limits are computed from available data. When process output data follows a random distribution located within the control limits, the process is said to be stable, consistent, and predictable. When process output data follow patterns or are located outside the control limits, the process may no longer be stable or predictable.</w:t>
            </w:r>
          </w:p>
        </w:tc>
      </w:tr>
      <w:tr w14:paraId="2F393D5B" w14:textId="77777777">
        <w:tblPrEx>
          <w:tblW w:w="8730" w:type="dxa"/>
          <w:tblInd w:w="-5" w:type="dxa"/>
          <w:tblLook w:val="04A0"/>
        </w:tblPrEx>
        <w:tc>
          <w:tcPr>
            <w:tcW w:w="1663" w:type="dxa"/>
          </w:tcPr>
          <w:p w:rsidR="00464AC9" w:rsidRPr="008F2106" w:rsidP="005C08EE" w14:paraId="08F20D14" w14:textId="77777777">
            <w:pPr>
              <w:rPr>
                <w:rFonts w:cstheme="minorHAnsi"/>
              </w:rPr>
            </w:pPr>
            <w:r w:rsidRPr="008F2106">
              <w:rPr>
                <w:rFonts w:cstheme="minorHAnsi"/>
              </w:rPr>
              <w:t>Process Parameter</w:t>
            </w:r>
          </w:p>
        </w:tc>
        <w:tc>
          <w:tcPr>
            <w:tcW w:w="7067" w:type="dxa"/>
          </w:tcPr>
          <w:p w:rsidR="00464AC9" w:rsidRPr="008F2106" w:rsidP="005C08EE" w14:paraId="48EC605A" w14:textId="77777777">
            <w:pPr>
              <w:rPr>
                <w:rFonts w:cstheme="minorHAnsi"/>
                <w:color w:val="000000"/>
                <w:shd w:val="clear" w:color="auto" w:fill="FFFFFF"/>
              </w:rPr>
            </w:pPr>
            <w:r w:rsidRPr="008F2106">
              <w:rPr>
                <w:rFonts w:cstheme="minorHAnsi"/>
                <w:color w:val="000000"/>
                <w:shd w:val="clear" w:color="auto" w:fill="FFFFFF"/>
              </w:rPr>
              <w:t>A process parameter is a setting, condition, or variable that can be adjusted or controlled within the process itself to influence how the process runs and what outputs are produced.</w:t>
            </w:r>
          </w:p>
        </w:tc>
      </w:tr>
      <w:tr w14:paraId="7FF1D6B9" w14:textId="77777777">
        <w:tblPrEx>
          <w:tblW w:w="8730" w:type="dxa"/>
          <w:tblInd w:w="-5" w:type="dxa"/>
          <w:tblLook w:val="04A0"/>
        </w:tblPrEx>
        <w:tc>
          <w:tcPr>
            <w:tcW w:w="1663" w:type="dxa"/>
          </w:tcPr>
          <w:p w:rsidR="00464AC9" w:rsidRPr="008F2106" w:rsidP="005C08EE" w14:paraId="41F38BAC" w14:textId="77777777">
            <w:pPr>
              <w:rPr>
                <w:rFonts w:cstheme="minorHAnsi"/>
              </w:rPr>
            </w:pPr>
            <w:r w:rsidRPr="008F2106">
              <w:rPr>
                <w:rFonts w:cstheme="minorHAnsi"/>
              </w:rPr>
              <w:t>Process Validation</w:t>
            </w:r>
          </w:p>
        </w:tc>
        <w:tc>
          <w:tcPr>
            <w:tcW w:w="7067" w:type="dxa"/>
          </w:tcPr>
          <w:p w:rsidR="00464AC9" w:rsidRPr="008F2106" w:rsidP="005C08EE" w14:paraId="3742277E" w14:textId="77777777">
            <w:pPr>
              <w:rPr>
                <w:rFonts w:cstheme="minorHAnsi"/>
                <w:color w:val="000000"/>
                <w:shd w:val="clear" w:color="auto" w:fill="FFFFFF"/>
              </w:rPr>
            </w:pPr>
            <w:r w:rsidRPr="008F2106">
              <w:rPr>
                <w:rFonts w:cstheme="minorHAnsi"/>
                <w:color w:val="000000"/>
                <w:shd w:val="clear" w:color="auto" w:fill="FFFFFF"/>
              </w:rPr>
              <w:t xml:space="preserve">Process validation means establishing by objective evidence that a process consistently produces a result or product meeting its predetermined specifications. </w:t>
            </w:r>
            <w:r w:rsidRPr="008F2106">
              <w:rPr>
                <w:rFonts w:cstheme="minorHAnsi"/>
                <w:color w:val="7F7F7F" w:themeColor="text1" w:themeTint="80"/>
                <w:shd w:val="clear" w:color="auto" w:fill="FFFFFF"/>
              </w:rPr>
              <w:t>Source: 21 CFR 820.3 (z) (1)</w:t>
            </w:r>
          </w:p>
        </w:tc>
      </w:tr>
      <w:tr w14:paraId="064BB980" w14:textId="77777777">
        <w:tblPrEx>
          <w:tblW w:w="8730" w:type="dxa"/>
          <w:tblInd w:w="-5" w:type="dxa"/>
          <w:tblLook w:val="04A0"/>
        </w:tblPrEx>
        <w:tc>
          <w:tcPr>
            <w:tcW w:w="1663" w:type="dxa"/>
          </w:tcPr>
          <w:p w:rsidR="00464AC9" w:rsidRPr="008F2106" w:rsidP="005C08EE" w14:paraId="7BC7821F" w14:textId="77777777">
            <w:pPr>
              <w:rPr>
                <w:rFonts w:cstheme="minorHAnsi"/>
              </w:rPr>
            </w:pPr>
            <w:r w:rsidRPr="008F2106">
              <w:rPr>
                <w:rFonts w:cstheme="minorHAnsi"/>
              </w:rPr>
              <w:t>Product</w:t>
            </w:r>
          </w:p>
        </w:tc>
        <w:tc>
          <w:tcPr>
            <w:tcW w:w="7067" w:type="dxa"/>
          </w:tcPr>
          <w:p w:rsidR="00464AC9" w:rsidRPr="008F2106" w:rsidP="005C08EE" w14:paraId="2FD7D679" w14:textId="77777777">
            <w:pPr>
              <w:rPr>
                <w:rFonts w:cstheme="minorHAnsi"/>
                <w:color w:val="000000"/>
                <w:shd w:val="clear" w:color="auto" w:fill="FFFFFF"/>
              </w:rPr>
            </w:pPr>
            <w:r w:rsidRPr="008F2106">
              <w:rPr>
                <w:rFonts w:cstheme="minorHAnsi"/>
                <w:color w:val="000000"/>
                <w:shd w:val="clear" w:color="auto" w:fill="FFFFFF"/>
              </w:rPr>
              <w:t xml:space="preserve">Product means components, manufacturing materials, in- process devices, finished devices, and returned devices. </w:t>
            </w:r>
            <w:r w:rsidRPr="008F2106">
              <w:rPr>
                <w:rFonts w:cstheme="minorHAnsi"/>
                <w:color w:val="7F7F7F" w:themeColor="text1" w:themeTint="80"/>
                <w:shd w:val="clear" w:color="auto" w:fill="FFFFFF"/>
              </w:rPr>
              <w:t>Source: 21 CFR 820.3 (r)</w:t>
            </w:r>
          </w:p>
        </w:tc>
      </w:tr>
      <w:tr w14:paraId="44C1FBC6" w14:textId="77777777">
        <w:tblPrEx>
          <w:tblW w:w="8730" w:type="dxa"/>
          <w:tblInd w:w="-5" w:type="dxa"/>
          <w:tblLook w:val="04A0"/>
        </w:tblPrEx>
        <w:tc>
          <w:tcPr>
            <w:tcW w:w="1663" w:type="dxa"/>
          </w:tcPr>
          <w:p w:rsidR="00464AC9" w:rsidRPr="008F2106" w:rsidP="005C08EE" w14:paraId="2218194D" w14:textId="77777777">
            <w:pPr>
              <w:rPr>
                <w:rFonts w:cstheme="minorHAnsi"/>
              </w:rPr>
            </w:pPr>
            <w:r w:rsidRPr="008F2106">
              <w:rPr>
                <w:rFonts w:cstheme="minorHAnsi"/>
              </w:rPr>
              <w:t>Production equivalent</w:t>
            </w:r>
          </w:p>
        </w:tc>
        <w:tc>
          <w:tcPr>
            <w:tcW w:w="7067" w:type="dxa"/>
          </w:tcPr>
          <w:p w:rsidR="00464AC9" w:rsidRPr="008F2106" w:rsidP="005C08EE" w14:paraId="118F627C" w14:textId="77777777">
            <w:pPr>
              <w:rPr>
                <w:rFonts w:cstheme="minorHAnsi"/>
                <w:color w:val="000000"/>
                <w:shd w:val="clear" w:color="auto" w:fill="FFFFFF"/>
              </w:rPr>
            </w:pPr>
            <w:r w:rsidRPr="008F2106">
              <w:rPr>
                <w:rFonts w:cstheme="minorHAnsi"/>
                <w:color w:val="000000"/>
                <w:shd w:val="clear" w:color="auto" w:fill="FFFFFF"/>
              </w:rPr>
              <w:t xml:space="preserve">A part, component, sub-assembly or finished device that is representative of future production in the design specification, manufacturing process documentation (DMR) and manufacturing equipment. </w:t>
            </w:r>
          </w:p>
        </w:tc>
      </w:tr>
      <w:tr w14:paraId="7AD6EC8C" w14:textId="77777777">
        <w:tblPrEx>
          <w:tblW w:w="8730" w:type="dxa"/>
          <w:tblInd w:w="-5" w:type="dxa"/>
          <w:tblLook w:val="04A0"/>
        </w:tblPrEx>
        <w:tc>
          <w:tcPr>
            <w:tcW w:w="1663" w:type="dxa"/>
          </w:tcPr>
          <w:p w:rsidR="00464AC9" w:rsidRPr="008F2106" w:rsidP="005C08EE" w14:paraId="60E4B4C4" w14:textId="77777777">
            <w:pPr>
              <w:rPr>
                <w:rFonts w:cstheme="minorHAnsi"/>
              </w:rPr>
            </w:pPr>
            <w:r w:rsidRPr="008F2106">
              <w:rPr>
                <w:rFonts w:cstheme="minorHAnsi"/>
              </w:rPr>
              <w:t>Prospective Validation</w:t>
            </w:r>
          </w:p>
        </w:tc>
        <w:tc>
          <w:tcPr>
            <w:tcW w:w="7067" w:type="dxa"/>
          </w:tcPr>
          <w:p w:rsidR="00464AC9" w:rsidRPr="008F2106" w:rsidP="005C08EE" w14:paraId="40F7BB3D" w14:textId="77777777">
            <w:pPr>
              <w:rPr>
                <w:rFonts w:cstheme="minorHAnsi"/>
                <w:color w:val="000000"/>
                <w:shd w:val="clear" w:color="auto" w:fill="FFFFFF"/>
              </w:rPr>
            </w:pPr>
            <w:r w:rsidRPr="008F2106">
              <w:rPr>
                <w:rFonts w:cstheme="minorHAnsi"/>
                <w:color w:val="000000"/>
                <w:shd w:val="clear" w:color="auto" w:fill="FFFFFF"/>
              </w:rPr>
              <w:t>Prospective means: concerned with or applying to the future. Prospective validation is the process of validating a manufacturing process before commercial production begins or before a change to an existing process is implemented.</w:t>
            </w:r>
          </w:p>
        </w:tc>
      </w:tr>
      <w:tr w14:paraId="68BDFB62" w14:textId="77777777">
        <w:tblPrEx>
          <w:tblW w:w="8730" w:type="dxa"/>
          <w:tblInd w:w="-5" w:type="dxa"/>
          <w:tblLook w:val="04A0"/>
        </w:tblPrEx>
        <w:tc>
          <w:tcPr>
            <w:tcW w:w="1663" w:type="dxa"/>
          </w:tcPr>
          <w:p w:rsidR="00464AC9" w:rsidRPr="008F2106" w:rsidP="005C08EE" w14:paraId="223DAB73" w14:textId="77777777">
            <w:pPr>
              <w:rPr>
                <w:rFonts w:cstheme="minorHAnsi"/>
              </w:rPr>
            </w:pPr>
            <w:r w:rsidRPr="008F2106">
              <w:rPr>
                <w:rFonts w:cstheme="minorHAnsi"/>
              </w:rPr>
              <w:t>PVP</w:t>
            </w:r>
          </w:p>
        </w:tc>
        <w:tc>
          <w:tcPr>
            <w:tcW w:w="7067" w:type="dxa"/>
          </w:tcPr>
          <w:p w:rsidR="00464AC9" w:rsidRPr="008F2106" w:rsidP="005C08EE" w14:paraId="32E72688" w14:textId="77777777">
            <w:pPr>
              <w:rPr>
                <w:rFonts w:cstheme="minorHAnsi"/>
                <w:color w:val="000000"/>
                <w:shd w:val="clear" w:color="auto" w:fill="FFFFFF"/>
              </w:rPr>
            </w:pPr>
            <w:r w:rsidRPr="008F2106">
              <w:rPr>
                <w:rFonts w:cstheme="minorHAnsi"/>
                <w:color w:val="000000"/>
                <w:shd w:val="clear" w:color="auto" w:fill="FFFFFF"/>
              </w:rPr>
              <w:t>Process validation plan</w:t>
            </w:r>
          </w:p>
        </w:tc>
      </w:tr>
      <w:tr w14:paraId="09E3AC53" w14:textId="77777777">
        <w:tblPrEx>
          <w:tblW w:w="8730" w:type="dxa"/>
          <w:tblInd w:w="-5" w:type="dxa"/>
          <w:tblLook w:val="04A0"/>
        </w:tblPrEx>
        <w:tc>
          <w:tcPr>
            <w:tcW w:w="1663" w:type="dxa"/>
          </w:tcPr>
          <w:p w:rsidR="00464AC9" w:rsidRPr="008F2106" w:rsidP="005C08EE" w14:paraId="5B61BF7C" w14:textId="77777777">
            <w:pPr>
              <w:rPr>
                <w:rFonts w:cstheme="minorHAnsi"/>
              </w:rPr>
            </w:pPr>
            <w:r w:rsidRPr="008F2106">
              <w:rPr>
                <w:rFonts w:cstheme="minorHAnsi"/>
              </w:rPr>
              <w:t>Retrospective Validation</w:t>
            </w:r>
          </w:p>
        </w:tc>
        <w:tc>
          <w:tcPr>
            <w:tcW w:w="7067" w:type="dxa"/>
          </w:tcPr>
          <w:p w:rsidR="00464AC9" w:rsidRPr="008F2106" w:rsidP="005C08EE" w14:paraId="4FFBCC91" w14:textId="77777777">
            <w:pPr>
              <w:rPr>
                <w:rFonts w:cstheme="minorHAnsi"/>
                <w:color w:val="000000"/>
                <w:shd w:val="clear" w:color="auto" w:fill="FFFFFF"/>
              </w:rPr>
            </w:pPr>
            <w:r w:rsidRPr="008F2106">
              <w:rPr>
                <w:rFonts w:cstheme="minorHAnsi"/>
                <w:color w:val="000000"/>
                <w:shd w:val="clear" w:color="auto" w:fill="FFFFFF"/>
              </w:rPr>
              <w:t>Any validation that uses historical data to perform the validation. This approach is used for revalidating existing processes where periodic revalidation is required and for correcting deficiencies in earlier validations.</w:t>
            </w:r>
          </w:p>
        </w:tc>
      </w:tr>
      <w:tr w14:paraId="5DA142E6" w14:textId="77777777">
        <w:tblPrEx>
          <w:tblW w:w="8730" w:type="dxa"/>
          <w:tblInd w:w="-5" w:type="dxa"/>
          <w:tblLook w:val="04A0"/>
        </w:tblPrEx>
        <w:tc>
          <w:tcPr>
            <w:tcW w:w="1663" w:type="dxa"/>
          </w:tcPr>
          <w:p w:rsidR="00464AC9" w:rsidRPr="008F2106" w:rsidP="005C08EE" w14:paraId="7E5690DD" w14:textId="77777777">
            <w:pPr>
              <w:rPr>
                <w:rFonts w:cstheme="minorHAnsi"/>
              </w:rPr>
            </w:pPr>
            <w:r w:rsidRPr="008F2106">
              <w:rPr>
                <w:rFonts w:cstheme="minorHAnsi"/>
              </w:rPr>
              <w:t>RQL</w:t>
            </w:r>
          </w:p>
        </w:tc>
        <w:tc>
          <w:tcPr>
            <w:tcW w:w="7067" w:type="dxa"/>
          </w:tcPr>
          <w:p w:rsidR="00464AC9" w:rsidRPr="008F2106" w:rsidP="005C08EE" w14:paraId="5A006EA3" w14:textId="77777777">
            <w:pPr>
              <w:rPr>
                <w:rFonts w:cstheme="minorHAnsi"/>
                <w:color w:val="000000"/>
                <w:shd w:val="clear" w:color="auto" w:fill="FFFFFF"/>
              </w:rPr>
            </w:pPr>
            <w:r w:rsidRPr="008F2106">
              <w:rPr>
                <w:rFonts w:cstheme="minorHAnsi"/>
                <w:color w:val="000000"/>
                <w:shd w:val="clear" w:color="auto" w:fill="FFFFFF"/>
              </w:rPr>
              <w:t>Rejectable Quality Level. The RQL of a sampling plan is a quality level which is routinely rejected by the sampling plan. Processes with defect rates equal to or worse than RQL are rejected most of the time.</w:t>
            </w:r>
          </w:p>
        </w:tc>
      </w:tr>
      <w:tr w14:paraId="1DD0CCB1" w14:textId="77777777">
        <w:tblPrEx>
          <w:tblW w:w="8730" w:type="dxa"/>
          <w:tblInd w:w="-5" w:type="dxa"/>
          <w:tblLook w:val="04A0"/>
        </w:tblPrEx>
        <w:tc>
          <w:tcPr>
            <w:tcW w:w="1663" w:type="dxa"/>
          </w:tcPr>
          <w:p w:rsidR="00464AC9" w:rsidRPr="008F2106" w:rsidP="005C08EE" w14:paraId="0E9049AC" w14:textId="77777777">
            <w:pPr>
              <w:rPr>
                <w:rFonts w:cstheme="minorHAnsi"/>
              </w:rPr>
            </w:pPr>
            <w:r w:rsidRPr="008F2106">
              <w:rPr>
                <w:rFonts w:cstheme="minorHAnsi"/>
              </w:rPr>
              <w:t>S, SEV</w:t>
            </w:r>
          </w:p>
        </w:tc>
        <w:tc>
          <w:tcPr>
            <w:tcW w:w="7067" w:type="dxa"/>
          </w:tcPr>
          <w:p w:rsidR="00464AC9" w:rsidRPr="008F2106" w:rsidP="005C08EE" w14:paraId="50671656" w14:textId="77777777">
            <w:pPr>
              <w:rPr>
                <w:rFonts w:cstheme="minorHAnsi"/>
                <w:color w:val="000000"/>
                <w:shd w:val="clear" w:color="auto" w:fill="FFFFFF"/>
              </w:rPr>
            </w:pPr>
            <w:r w:rsidRPr="008F2106">
              <w:rPr>
                <w:rFonts w:cstheme="minorHAnsi"/>
                <w:color w:val="000000"/>
                <w:shd w:val="clear" w:color="auto" w:fill="FFFFFF"/>
              </w:rPr>
              <w:t xml:space="preserve">Severity. Relative ranking of potential or actual consequences of a failure or fault. </w:t>
            </w:r>
            <w:r w:rsidRPr="008F2106">
              <w:rPr>
                <w:rFonts w:cstheme="minorHAnsi"/>
                <w:color w:val="7F7F7F" w:themeColor="text1" w:themeTint="80"/>
                <w:shd w:val="clear" w:color="auto" w:fill="FFFFFF"/>
              </w:rPr>
              <w:t>Source: Failure modes and effects analysis/IEC 60812:2018</w:t>
            </w:r>
          </w:p>
        </w:tc>
      </w:tr>
      <w:tr w14:paraId="32C5EAA9" w14:textId="77777777">
        <w:tblPrEx>
          <w:tblW w:w="8730" w:type="dxa"/>
          <w:tblInd w:w="-5" w:type="dxa"/>
          <w:tblLook w:val="04A0"/>
        </w:tblPrEx>
        <w:tc>
          <w:tcPr>
            <w:tcW w:w="1663" w:type="dxa"/>
          </w:tcPr>
          <w:p w:rsidR="00464AC9" w:rsidRPr="008F2106" w:rsidP="005C08EE" w14:paraId="6E4967E8" w14:textId="77777777">
            <w:pPr>
              <w:rPr>
                <w:rFonts w:cstheme="minorHAnsi"/>
              </w:rPr>
            </w:pPr>
            <w:r w:rsidRPr="008F2106">
              <w:rPr>
                <w:rFonts w:cstheme="minorHAnsi"/>
              </w:rPr>
              <w:t>Special Cause Variation</w:t>
            </w:r>
          </w:p>
        </w:tc>
        <w:tc>
          <w:tcPr>
            <w:tcW w:w="7067" w:type="dxa"/>
          </w:tcPr>
          <w:p w:rsidR="00464AC9" w:rsidRPr="008F2106" w:rsidP="005C08EE" w14:paraId="112425AC" w14:textId="77777777">
            <w:pPr>
              <w:rPr>
                <w:rFonts w:cstheme="minorHAnsi"/>
                <w:color w:val="000000"/>
                <w:shd w:val="clear" w:color="auto" w:fill="FFFFFF"/>
              </w:rPr>
            </w:pPr>
            <w:r w:rsidRPr="008F2106">
              <w:rPr>
                <w:rFonts w:cstheme="minorHAnsi"/>
                <w:color w:val="000000"/>
                <w:shd w:val="clear" w:color="auto" w:fill="FFFFFF"/>
              </w:rPr>
              <w:t>Special cause variation refers to unexpected glitches in the process. These variations are sporadic, unusual, and non-quantifiable. In a control chart, this type of variation is typically observed with data points outside of the control limits.</w:t>
            </w:r>
          </w:p>
        </w:tc>
      </w:tr>
      <w:tr w14:paraId="172BC1AC" w14:textId="77777777">
        <w:tblPrEx>
          <w:tblW w:w="8730" w:type="dxa"/>
          <w:tblInd w:w="-5" w:type="dxa"/>
          <w:tblLook w:val="04A0"/>
        </w:tblPrEx>
        <w:tc>
          <w:tcPr>
            <w:tcW w:w="1663" w:type="dxa"/>
          </w:tcPr>
          <w:p w:rsidR="00464AC9" w:rsidRPr="008F2106" w:rsidP="005C08EE" w14:paraId="6DC8318E" w14:textId="77777777">
            <w:pPr>
              <w:rPr>
                <w:rFonts w:cstheme="minorHAnsi"/>
              </w:rPr>
            </w:pPr>
            <w:r w:rsidRPr="008F2106">
              <w:rPr>
                <w:rFonts w:cstheme="minorHAnsi"/>
              </w:rPr>
              <w:t>Transfer Function</w:t>
            </w:r>
          </w:p>
        </w:tc>
        <w:tc>
          <w:tcPr>
            <w:tcW w:w="7067" w:type="dxa"/>
          </w:tcPr>
          <w:p w:rsidR="00464AC9" w:rsidRPr="008F2106" w:rsidP="005C08EE" w14:paraId="3421FE76" w14:textId="77777777">
            <w:pPr>
              <w:rPr>
                <w:rFonts w:cstheme="minorHAnsi"/>
                <w:lang w:eastAsia="nl-NL"/>
              </w:rPr>
            </w:pPr>
            <w:r w:rsidRPr="008F2106">
              <w:rPr>
                <w:rFonts w:cstheme="minorHAnsi"/>
                <w:lang w:eastAsia="nl-NL"/>
              </w:rPr>
              <w:t xml:space="preserve">Mathematical function that models the process output for each process input (i.e., Pressure, Time, Temperature). </w:t>
            </w:r>
          </w:p>
        </w:tc>
      </w:tr>
      <w:tr w14:paraId="20D629DB" w14:textId="77777777">
        <w:tblPrEx>
          <w:tblW w:w="8730" w:type="dxa"/>
          <w:tblInd w:w="-5" w:type="dxa"/>
          <w:tblLook w:val="04A0"/>
        </w:tblPrEx>
        <w:tc>
          <w:tcPr>
            <w:tcW w:w="1663" w:type="dxa"/>
          </w:tcPr>
          <w:p w:rsidR="00464AC9" w:rsidRPr="008F2106" w:rsidP="005C08EE" w14:paraId="04B19DEF" w14:textId="77777777">
            <w:pPr>
              <w:rPr>
                <w:rFonts w:cstheme="minorHAnsi"/>
                <w:lang w:eastAsia="nl-NL"/>
              </w:rPr>
            </w:pPr>
            <w:r w:rsidRPr="008F2106">
              <w:rPr>
                <w:rFonts w:cstheme="minorHAnsi"/>
                <w:lang w:eastAsia="nl-NL"/>
              </w:rPr>
              <w:t>TMV</w:t>
            </w:r>
          </w:p>
        </w:tc>
        <w:tc>
          <w:tcPr>
            <w:tcW w:w="7067" w:type="dxa"/>
          </w:tcPr>
          <w:p w:rsidR="00464AC9" w:rsidRPr="008F2106" w:rsidP="005C08EE" w14:paraId="2D048103" w14:textId="77777777">
            <w:pPr>
              <w:rPr>
                <w:rFonts w:cstheme="minorHAnsi"/>
                <w:lang w:eastAsia="nl-NL"/>
              </w:rPr>
            </w:pPr>
            <w:r w:rsidRPr="008F2106">
              <w:rPr>
                <w:rFonts w:cstheme="minorHAnsi"/>
                <w:lang w:eastAsia="nl-NL"/>
              </w:rPr>
              <w:t>Test Method Validation: Documented evidence of the reliability of the measurement system.</w:t>
            </w:r>
          </w:p>
        </w:tc>
      </w:tr>
      <w:tr w14:paraId="7EFBAD0B" w14:textId="77777777">
        <w:tblPrEx>
          <w:tblW w:w="8730" w:type="dxa"/>
          <w:tblInd w:w="-5" w:type="dxa"/>
          <w:tblLook w:val="04A0"/>
        </w:tblPrEx>
        <w:tc>
          <w:tcPr>
            <w:tcW w:w="1663" w:type="dxa"/>
          </w:tcPr>
          <w:p w:rsidR="00464AC9" w:rsidRPr="008F2106" w:rsidP="005C08EE" w14:paraId="53108143" w14:textId="77777777">
            <w:pPr>
              <w:rPr>
                <w:rFonts w:cstheme="minorHAnsi"/>
                <w:lang w:eastAsia="nl-NL"/>
              </w:rPr>
            </w:pPr>
            <w:r w:rsidRPr="008F2106">
              <w:rPr>
                <w:rFonts w:cstheme="minorHAnsi"/>
                <w:lang w:eastAsia="nl-NL"/>
              </w:rPr>
              <w:t>USL</w:t>
            </w:r>
          </w:p>
        </w:tc>
        <w:tc>
          <w:tcPr>
            <w:tcW w:w="7067" w:type="dxa"/>
          </w:tcPr>
          <w:p w:rsidR="00464AC9" w:rsidRPr="008F2106" w:rsidP="005C08EE" w14:paraId="3B3BC4DA" w14:textId="77777777">
            <w:pPr>
              <w:rPr>
                <w:rFonts w:cstheme="minorHAnsi"/>
                <w:lang w:eastAsia="nl-NL"/>
              </w:rPr>
            </w:pPr>
            <w:r w:rsidRPr="008F2106">
              <w:rPr>
                <w:rFonts w:cstheme="minorHAnsi"/>
                <w:lang w:eastAsia="nl-NL"/>
              </w:rPr>
              <w:t>Upper Specification Limit</w:t>
            </w:r>
          </w:p>
        </w:tc>
      </w:tr>
      <w:tr w14:paraId="58658013" w14:textId="77777777">
        <w:tblPrEx>
          <w:tblW w:w="8730" w:type="dxa"/>
          <w:tblInd w:w="-5" w:type="dxa"/>
          <w:tblLook w:val="04A0"/>
        </w:tblPrEx>
        <w:tc>
          <w:tcPr>
            <w:tcW w:w="1663" w:type="dxa"/>
          </w:tcPr>
          <w:p w:rsidR="00464AC9" w:rsidRPr="008F2106" w:rsidP="005C08EE" w14:paraId="182A74A3" w14:textId="77777777">
            <w:pPr>
              <w:rPr>
                <w:rFonts w:cstheme="minorHAnsi"/>
                <w:lang w:eastAsia="nl-NL"/>
              </w:rPr>
            </w:pPr>
            <w:r w:rsidRPr="008F2106">
              <w:rPr>
                <w:rFonts w:cstheme="minorHAnsi"/>
              </w:rPr>
              <w:t>WI</w:t>
            </w:r>
          </w:p>
        </w:tc>
        <w:tc>
          <w:tcPr>
            <w:tcW w:w="7067" w:type="dxa"/>
          </w:tcPr>
          <w:p w:rsidR="00464AC9" w:rsidRPr="008F2106" w:rsidP="005C08EE" w14:paraId="2FC94B96" w14:textId="77777777">
            <w:pPr>
              <w:rPr>
                <w:rFonts w:cstheme="minorHAnsi"/>
                <w:lang w:eastAsia="nl-NL"/>
              </w:rPr>
            </w:pPr>
            <w:r w:rsidRPr="008F2106">
              <w:rPr>
                <w:rFonts w:cstheme="minorHAnsi"/>
              </w:rPr>
              <w:t xml:space="preserve">Work Instruction: </w:t>
            </w:r>
            <w:r w:rsidRPr="008F2106">
              <w:rPr>
                <w:rFonts w:cstheme="minorHAnsi"/>
                <w:color w:val="000000"/>
                <w:shd w:val="clear" w:color="auto" w:fill="FFFFFF"/>
              </w:rPr>
              <w:t>Documented detailed descriptions of how to perform and record tasks. Work Instructions may be, for example, detailed written descriptions, flowcharts, templates, models, technical notes incorporated into drawings, specifications, equipment instruction manuals, pictures, videos, checklists, or combinations thereof. Work instructions should describe any materials, equipment, and documentation to be used. When relevant, work instructions include acceptance criteria.</w:t>
            </w:r>
          </w:p>
        </w:tc>
      </w:tr>
      <w:tr w14:paraId="06B60027" w14:textId="77777777">
        <w:tblPrEx>
          <w:tblW w:w="8730" w:type="dxa"/>
          <w:tblInd w:w="-5" w:type="dxa"/>
          <w:tblLook w:val="04A0"/>
        </w:tblPrEx>
        <w:tc>
          <w:tcPr>
            <w:tcW w:w="1663" w:type="dxa"/>
          </w:tcPr>
          <w:p w:rsidR="00464AC9" w:rsidRPr="008F2106" w:rsidP="005C08EE" w14:paraId="48EF36CA" w14:textId="77777777">
            <w:pPr>
              <w:rPr>
                <w:rFonts w:cstheme="minorHAnsi"/>
              </w:rPr>
            </w:pPr>
            <w:r w:rsidRPr="008F2106">
              <w:rPr>
                <w:rFonts w:cstheme="minorHAnsi"/>
              </w:rPr>
              <w:t>Worse Case condition</w:t>
            </w:r>
          </w:p>
        </w:tc>
        <w:tc>
          <w:tcPr>
            <w:tcW w:w="7067" w:type="dxa"/>
          </w:tcPr>
          <w:p w:rsidR="00464AC9" w:rsidRPr="008F2106" w:rsidP="00464AC9" w14:paraId="1C15ADB7" w14:textId="77777777">
            <w:pPr>
              <w:keepNext/>
              <w:rPr>
                <w:rFonts w:cstheme="minorHAnsi"/>
              </w:rPr>
            </w:pPr>
            <w:r w:rsidRPr="008F2106">
              <w:rPr>
                <w:rFonts w:cstheme="minorHAnsi"/>
              </w:rPr>
              <w:t>Worst-case conditions are the settings for process inputs that cause the worst-case performance for the process outputs. Process inputs are typically set to their respective process limits. The process is challenged at the worst-case conditions during OQ to confirm that the process produces products that meet the predetermined requirements under all conditions of manufacturing.</w:t>
            </w:r>
          </w:p>
        </w:tc>
      </w:tr>
    </w:tbl>
    <w:p w:rsidR="00521B92" w:rsidP="00464AC9" w14:paraId="6D50150A" w14:textId="192B3CBB">
      <w:pPr>
        <w:pStyle w:val="Caption"/>
      </w:pPr>
      <w:r w:rsidRPr="008F2106">
        <w:t xml:space="preserve">Table </w:t>
      </w:r>
      <w:r w:rsidRPr="008F2106">
        <w:fldChar w:fldCharType="begin"/>
      </w:r>
      <w:r w:rsidRPr="008F2106">
        <w:instrText xml:space="preserve"> SEQ Tabel \* ARABIC </w:instrText>
      </w:r>
      <w:r w:rsidRPr="008F2106">
        <w:fldChar w:fldCharType="separate"/>
      </w:r>
      <w:r w:rsidRPr="008F2106">
        <w:t>1</w:t>
      </w:r>
      <w:r w:rsidRPr="008F2106">
        <w:fldChar w:fldCharType="end"/>
      </w:r>
      <w:r w:rsidRPr="008F2106">
        <w:t>: Acronyms and Definitions</w:t>
      </w:r>
    </w:p>
    <w:p w:rsidR="00EE1EA6" w:rsidP="00EE1EA6" w14:paraId="72D13A34" w14:textId="7A7207A2">
      <w:r>
        <w:br w:type="page"/>
      </w:r>
    </w:p>
    <w:p w:rsidR="00464AC9" w:rsidP="00A61F37" w14:paraId="1D2C9477" w14:textId="3BD8C75E">
      <w:pPr>
        <w:pStyle w:val="Heading1"/>
      </w:pPr>
      <w:bookmarkStart w:id="16" w:name="_Toc256000013"/>
      <w:r w:rsidRPr="008F2106">
        <w:t>Process Validation Plan</w:t>
      </w:r>
      <w:bookmarkEnd w:id="16"/>
    </w:p>
    <w:p w:rsidR="00464AC9" w:rsidRPr="008F2106" w:rsidP="00657ABE" w14:paraId="300B43EC" w14:textId="77777777">
      <w:r w:rsidRPr="008F2106">
        <w:t xml:space="preserve">During the planning of product realization, the medical device organization must determine which production processes require validation and which process outputs can be sufficiently verified. The decision is typically documented in a </w:t>
      </w:r>
      <w:r w:rsidRPr="008F2106">
        <w:rPr>
          <w:i/>
          <w:iCs/>
        </w:rPr>
        <w:t>Process validation plan (PVP).</w:t>
      </w:r>
      <w:r w:rsidRPr="008F2106">
        <w:t xml:space="preserve"> The PVP provides a general framework for the validation project and lays out the overall strategy, objectives, and requirements for validating the manufacturing process. A PVP is not required but highly recommended for processes where multiple manufacturing steps are executed, such as the manufacturing of cable assemblies where cable is cut to length, wires are soldered or crimped to connectors, and the connectors are then over molded and subsequently tested.</w:t>
      </w:r>
    </w:p>
    <w:p w:rsidR="00464AC9" w:rsidRPr="008F2106" w:rsidP="00657ABE" w14:paraId="3B39727A" w14:textId="77777777"/>
    <w:p w:rsidR="00464AC9" w:rsidRPr="008F2106" w:rsidP="00657ABE" w14:paraId="25E97F93" w14:textId="77777777">
      <w:r w:rsidRPr="008F2106">
        <w:t>In cases where the process uses custom software to control the process or test method, software validation requirements should be included in the PVP. Software validation requirements are typically completed prior to OQ and PQ to ensure the software is performing as intended prior to its use in process validation activities.</w:t>
      </w:r>
    </w:p>
    <w:p w:rsidR="00464AC9" w:rsidRPr="008F2106" w:rsidP="00657ABE" w14:paraId="09CFE84C" w14:textId="77777777"/>
    <w:p w:rsidR="00464AC9" w:rsidRPr="008F2106" w:rsidP="00657ABE" w14:paraId="080F6070" w14:textId="77777777">
      <w:r w:rsidRPr="008F2106">
        <w:t xml:space="preserve">The purpose of the PVP is twofold. One, to plan the validation and two, to provide objective evidence that the process validation activities were executed. The PVP should include a </w:t>
      </w:r>
      <w:r w:rsidRPr="008F2106">
        <w:rPr>
          <w:i/>
          <w:iCs/>
        </w:rPr>
        <w:t>Purpose</w:t>
      </w:r>
      <w:r w:rsidRPr="008F2106">
        <w:t xml:space="preserve"> and </w:t>
      </w:r>
      <w:r w:rsidRPr="008F2106">
        <w:rPr>
          <w:i/>
          <w:iCs/>
        </w:rPr>
        <w:t>Scope</w:t>
      </w:r>
      <w:r w:rsidRPr="008F2106">
        <w:t xml:space="preserve"> statement, should describe the </w:t>
      </w:r>
      <w:r w:rsidRPr="008F2106">
        <w:rPr>
          <w:i/>
          <w:iCs/>
        </w:rPr>
        <w:t>product</w:t>
      </w:r>
      <w:r w:rsidRPr="008F2106">
        <w:t xml:space="preserve"> being made, should describe the processes that are being qualified, and should provide an overview of the validation strategy. Validation strategies include the type of planned validation (retrospective versus prospective), whether the process is validated for a sole product or for a group of products, etc.</w:t>
      </w:r>
    </w:p>
    <w:p w:rsidR="00464AC9" w:rsidRPr="008F2106" w:rsidP="00657ABE" w14:paraId="50F35E56" w14:textId="77777777"/>
    <w:p w:rsidR="00464AC9" w:rsidRPr="008F2106" w:rsidP="00657ABE" w14:paraId="2376E52E" w14:textId="77777777">
      <w:r w:rsidRPr="008F2106">
        <w:t>The PVP should</w:t>
      </w:r>
      <w:r w:rsidRPr="008F2106">
        <w:t xml:space="preserve"> </w:t>
      </w:r>
      <w:r w:rsidRPr="008F2106">
        <w:t>detail the revalidation requirements for the product or process. The PVP is intended to be a living document and as revalidations are performed, new protocols and reports should be recorded in the PVP, so it always contains the most current validations on file.</w:t>
      </w:r>
    </w:p>
    <w:p w:rsidR="00464AC9" w:rsidRPr="008F2106" w:rsidP="00657ABE" w14:paraId="2342EAAF" w14:textId="77777777"/>
    <w:p w:rsidR="00464AC9" w:rsidRPr="008F2106" w:rsidP="00657ABE" w14:paraId="5931EE4D" w14:textId="77777777">
      <w:r w:rsidRPr="008F2106">
        <w:t>The PVP should list each process step and the related equipment and critical quality attributes (CQAs). For each piece of equipment</w:t>
      </w:r>
      <w:r w:rsidRPr="008F2106">
        <w:t xml:space="preserve">, </w:t>
      </w:r>
      <w:r w:rsidRPr="008F2106">
        <w:t>a decision is recorded if the equipment requires software validation and/or IQ, and for each CQA a decision is recorded to either be</w:t>
      </w:r>
      <w:r w:rsidRPr="008F2106">
        <w:t xml:space="preserve"> </w:t>
      </w:r>
      <w:r w:rsidRPr="008F2106">
        <w:t>fully verified or to execute OQ and PQ. TMV is required for all primary inspection activities. A rationale for each</w:t>
      </w:r>
      <w:r w:rsidRPr="008F2106">
        <w:t xml:space="preserve"> </w:t>
      </w:r>
      <w:r w:rsidRPr="008F2106">
        <w:t xml:space="preserve">decision is provided. Record NR for Not Required and R for Required. Once the protocols and reports are approved, the </w:t>
      </w:r>
      <w:r w:rsidRPr="008F2106">
        <w:t>R’s</w:t>
      </w:r>
      <w:r w:rsidRPr="008F2106">
        <w:t xml:space="preserve"> are replaced by the protocol and report numbers.  An example of a summary table is shown in Table 2.</w:t>
      </w:r>
    </w:p>
    <w:p w:rsidR="00464AC9" w:rsidRPr="008F2106" w:rsidP="00464AC9" w14:paraId="0878B42E" w14:textId="2B370399">
      <w:pPr>
        <w:ind w:left="360"/>
        <w:rPr>
          <w:sz w:val="20"/>
          <w:szCs w:val="18"/>
        </w:rPr>
      </w:pPr>
    </w:p>
    <w:tbl>
      <w:tblPr>
        <w:tblStyle w:val="TableGrid"/>
        <w:tblW w:w="0" w:type="auto"/>
        <w:tblInd w:w="-5" w:type="dxa"/>
        <w:tblLayout w:type="fixed"/>
        <w:tblLook w:val="04A0"/>
      </w:tblPr>
      <w:tblGrid>
        <w:gridCol w:w="775"/>
        <w:gridCol w:w="1164"/>
        <w:gridCol w:w="1031"/>
        <w:gridCol w:w="900"/>
        <w:gridCol w:w="900"/>
        <w:gridCol w:w="630"/>
        <w:gridCol w:w="540"/>
        <w:gridCol w:w="720"/>
        <w:gridCol w:w="720"/>
        <w:gridCol w:w="630"/>
        <w:gridCol w:w="1170"/>
      </w:tblGrid>
      <w:tr w14:paraId="6133CFEC" w14:textId="77777777">
        <w:tblPrEx>
          <w:tblW w:w="0" w:type="auto"/>
          <w:tblInd w:w="-5" w:type="dxa"/>
          <w:tblLayout w:type="fixed"/>
          <w:tblLook w:val="04A0"/>
        </w:tblPrEx>
        <w:tc>
          <w:tcPr>
            <w:tcW w:w="775" w:type="dxa"/>
            <w:shd w:val="clear" w:color="auto" w:fill="C1E5FF" w:themeFill="accent1" w:themeFillTint="33"/>
          </w:tcPr>
          <w:p w:rsidR="00464AC9" w:rsidRPr="008F2106" w:rsidP="00464AC9" w14:paraId="19A4ECE7" w14:textId="77777777">
            <w:pPr>
              <w:rPr>
                <w:rFonts w:cstheme="minorHAnsi"/>
                <w:sz w:val="18"/>
                <w:szCs w:val="18"/>
              </w:rPr>
            </w:pPr>
            <w:r w:rsidRPr="008F2106">
              <w:rPr>
                <w:rFonts w:cstheme="minorHAnsi"/>
                <w:sz w:val="18"/>
                <w:szCs w:val="18"/>
              </w:rPr>
              <w:t>Process ID</w:t>
            </w:r>
          </w:p>
        </w:tc>
        <w:tc>
          <w:tcPr>
            <w:tcW w:w="1164" w:type="dxa"/>
            <w:shd w:val="clear" w:color="auto" w:fill="C1E5FF" w:themeFill="accent1" w:themeFillTint="33"/>
          </w:tcPr>
          <w:p w:rsidR="00464AC9" w:rsidRPr="008F2106" w:rsidP="00464AC9" w14:paraId="6721297D" w14:textId="77777777">
            <w:pPr>
              <w:rPr>
                <w:rFonts w:cstheme="minorHAnsi"/>
                <w:sz w:val="18"/>
                <w:szCs w:val="18"/>
              </w:rPr>
            </w:pPr>
            <w:r w:rsidRPr="008F2106">
              <w:rPr>
                <w:rFonts w:cstheme="minorHAnsi"/>
                <w:sz w:val="18"/>
                <w:szCs w:val="18"/>
              </w:rPr>
              <w:t>Process Name</w:t>
            </w:r>
          </w:p>
        </w:tc>
        <w:tc>
          <w:tcPr>
            <w:tcW w:w="1031" w:type="dxa"/>
            <w:shd w:val="clear" w:color="auto" w:fill="C1E5FF" w:themeFill="accent1" w:themeFillTint="33"/>
          </w:tcPr>
          <w:p w:rsidR="00464AC9" w:rsidRPr="008F2106" w:rsidP="00464AC9" w14:paraId="7E419CDD" w14:textId="77777777">
            <w:pPr>
              <w:rPr>
                <w:rFonts w:cstheme="minorHAnsi"/>
                <w:sz w:val="18"/>
                <w:szCs w:val="18"/>
              </w:rPr>
            </w:pPr>
            <w:r w:rsidRPr="008F2106">
              <w:rPr>
                <w:rFonts w:cstheme="minorHAnsi"/>
                <w:sz w:val="18"/>
                <w:szCs w:val="18"/>
              </w:rPr>
              <w:t>Equipment Name</w:t>
            </w:r>
          </w:p>
        </w:tc>
        <w:tc>
          <w:tcPr>
            <w:tcW w:w="900" w:type="dxa"/>
            <w:shd w:val="clear" w:color="auto" w:fill="C1E5FF" w:themeFill="accent1" w:themeFillTint="33"/>
          </w:tcPr>
          <w:p w:rsidR="00464AC9" w:rsidRPr="008F2106" w:rsidP="00464AC9" w14:paraId="362BBF2D" w14:textId="77777777">
            <w:pPr>
              <w:rPr>
                <w:rFonts w:cstheme="minorHAnsi"/>
                <w:sz w:val="18"/>
                <w:szCs w:val="18"/>
              </w:rPr>
            </w:pPr>
            <w:r w:rsidRPr="008F2106">
              <w:rPr>
                <w:rFonts w:cstheme="minorHAnsi"/>
                <w:sz w:val="18"/>
                <w:szCs w:val="18"/>
              </w:rPr>
              <w:t>Process Output</w:t>
            </w:r>
          </w:p>
        </w:tc>
        <w:tc>
          <w:tcPr>
            <w:tcW w:w="900" w:type="dxa"/>
            <w:shd w:val="clear" w:color="auto" w:fill="C1E5FF" w:themeFill="accent1" w:themeFillTint="33"/>
          </w:tcPr>
          <w:p w:rsidR="00464AC9" w:rsidRPr="008F2106" w:rsidP="00464AC9" w14:paraId="4751E29C" w14:textId="77777777">
            <w:pPr>
              <w:rPr>
                <w:rFonts w:cstheme="minorHAnsi"/>
                <w:sz w:val="18"/>
                <w:szCs w:val="18"/>
              </w:rPr>
            </w:pPr>
            <w:r w:rsidRPr="008F2106">
              <w:rPr>
                <w:rFonts w:cstheme="minorHAnsi"/>
                <w:sz w:val="18"/>
                <w:szCs w:val="18"/>
              </w:rPr>
              <w:t>Severity</w:t>
            </w:r>
          </w:p>
          <w:p w:rsidR="00464AC9" w:rsidRPr="008F2106" w:rsidP="00464AC9" w14:paraId="2B6F5C88" w14:textId="77777777">
            <w:pPr>
              <w:rPr>
                <w:rFonts w:cstheme="minorHAnsi"/>
                <w:sz w:val="18"/>
                <w:szCs w:val="18"/>
              </w:rPr>
            </w:pPr>
            <w:r w:rsidRPr="008F2106">
              <w:rPr>
                <w:rFonts w:cstheme="minorHAnsi"/>
                <w:sz w:val="18"/>
                <w:szCs w:val="18"/>
              </w:rPr>
              <w:t>CTQ/CTS</w:t>
            </w:r>
          </w:p>
        </w:tc>
        <w:tc>
          <w:tcPr>
            <w:tcW w:w="630" w:type="dxa"/>
            <w:shd w:val="clear" w:color="auto" w:fill="C1E5FF" w:themeFill="accent1" w:themeFillTint="33"/>
          </w:tcPr>
          <w:p w:rsidR="00464AC9" w:rsidRPr="008F2106" w:rsidP="00464AC9" w14:paraId="6A3D896C" w14:textId="77777777">
            <w:pPr>
              <w:rPr>
                <w:rFonts w:cstheme="minorHAnsi"/>
                <w:sz w:val="18"/>
                <w:szCs w:val="18"/>
                <w:vertAlign w:val="superscript"/>
              </w:rPr>
            </w:pPr>
            <w:r w:rsidRPr="008F2106">
              <w:rPr>
                <w:rFonts w:cstheme="minorHAnsi"/>
                <w:sz w:val="18"/>
                <w:szCs w:val="18"/>
              </w:rPr>
              <w:t>SWV</w:t>
            </w:r>
            <w:r w:rsidRPr="008F2106">
              <w:rPr>
                <w:rFonts w:cstheme="minorHAnsi"/>
                <w:sz w:val="18"/>
                <w:szCs w:val="18"/>
                <w:vertAlign w:val="superscript"/>
              </w:rPr>
              <w:t>1</w:t>
            </w:r>
          </w:p>
        </w:tc>
        <w:tc>
          <w:tcPr>
            <w:tcW w:w="540" w:type="dxa"/>
            <w:shd w:val="clear" w:color="auto" w:fill="C1E5FF" w:themeFill="accent1" w:themeFillTint="33"/>
          </w:tcPr>
          <w:p w:rsidR="00464AC9" w:rsidRPr="008F2106" w:rsidP="00464AC9" w14:paraId="55CDE107" w14:textId="77777777">
            <w:pPr>
              <w:rPr>
                <w:rFonts w:cstheme="minorHAnsi"/>
                <w:sz w:val="18"/>
                <w:szCs w:val="18"/>
              </w:rPr>
            </w:pPr>
            <w:r w:rsidRPr="008F2106">
              <w:rPr>
                <w:rFonts w:cstheme="minorHAnsi"/>
                <w:sz w:val="18"/>
                <w:szCs w:val="18"/>
              </w:rPr>
              <w:t>IQ</w:t>
            </w:r>
          </w:p>
        </w:tc>
        <w:tc>
          <w:tcPr>
            <w:tcW w:w="720" w:type="dxa"/>
            <w:shd w:val="clear" w:color="auto" w:fill="C1E5FF" w:themeFill="accent1" w:themeFillTint="33"/>
          </w:tcPr>
          <w:p w:rsidR="00464AC9" w:rsidRPr="008F2106" w:rsidP="00464AC9" w14:paraId="563EBFDB" w14:textId="77777777">
            <w:pPr>
              <w:rPr>
                <w:rFonts w:cstheme="minorHAnsi"/>
                <w:sz w:val="18"/>
                <w:szCs w:val="18"/>
              </w:rPr>
            </w:pPr>
            <w:r w:rsidRPr="008F2106">
              <w:rPr>
                <w:rFonts w:cstheme="minorHAnsi"/>
                <w:sz w:val="18"/>
                <w:szCs w:val="18"/>
              </w:rPr>
              <w:t>TMV</w:t>
            </w:r>
          </w:p>
        </w:tc>
        <w:tc>
          <w:tcPr>
            <w:tcW w:w="720" w:type="dxa"/>
            <w:shd w:val="clear" w:color="auto" w:fill="C1E5FF" w:themeFill="accent1" w:themeFillTint="33"/>
          </w:tcPr>
          <w:p w:rsidR="00464AC9" w:rsidRPr="008F2106" w:rsidP="00464AC9" w14:paraId="40530721" w14:textId="77777777">
            <w:pPr>
              <w:rPr>
                <w:rFonts w:cstheme="minorHAnsi"/>
                <w:sz w:val="18"/>
                <w:szCs w:val="18"/>
                <w:vertAlign w:val="superscript"/>
              </w:rPr>
            </w:pPr>
            <w:r w:rsidRPr="008F2106">
              <w:rPr>
                <w:rFonts w:cstheme="minorHAnsi"/>
                <w:sz w:val="18"/>
                <w:szCs w:val="18"/>
              </w:rPr>
              <w:t>OQ</w:t>
            </w:r>
            <w:r w:rsidRPr="008F2106">
              <w:rPr>
                <w:rFonts w:cstheme="minorHAnsi"/>
                <w:sz w:val="18"/>
                <w:szCs w:val="18"/>
                <w:vertAlign w:val="superscript"/>
              </w:rPr>
              <w:t>2</w:t>
            </w:r>
          </w:p>
        </w:tc>
        <w:tc>
          <w:tcPr>
            <w:tcW w:w="630" w:type="dxa"/>
            <w:shd w:val="clear" w:color="auto" w:fill="C1E5FF" w:themeFill="accent1" w:themeFillTint="33"/>
          </w:tcPr>
          <w:p w:rsidR="00464AC9" w:rsidRPr="008F2106" w:rsidP="00464AC9" w14:paraId="4C455D45" w14:textId="77777777">
            <w:pPr>
              <w:rPr>
                <w:rFonts w:cstheme="minorHAnsi"/>
                <w:sz w:val="18"/>
                <w:szCs w:val="18"/>
                <w:vertAlign w:val="superscript"/>
              </w:rPr>
            </w:pPr>
            <w:r w:rsidRPr="008F2106">
              <w:rPr>
                <w:rFonts w:cstheme="minorHAnsi"/>
                <w:sz w:val="18"/>
                <w:szCs w:val="18"/>
              </w:rPr>
              <w:t>PQ</w:t>
            </w:r>
            <w:r w:rsidRPr="008F2106">
              <w:rPr>
                <w:rFonts w:cstheme="minorHAnsi"/>
                <w:sz w:val="18"/>
                <w:szCs w:val="18"/>
                <w:vertAlign w:val="superscript"/>
              </w:rPr>
              <w:t>2</w:t>
            </w:r>
          </w:p>
        </w:tc>
        <w:tc>
          <w:tcPr>
            <w:tcW w:w="1170" w:type="dxa"/>
            <w:shd w:val="clear" w:color="auto" w:fill="C1E5FF" w:themeFill="accent1" w:themeFillTint="33"/>
          </w:tcPr>
          <w:p w:rsidR="00464AC9" w:rsidRPr="008F2106" w:rsidP="00464AC9" w14:paraId="1C180991" w14:textId="77777777">
            <w:pPr>
              <w:rPr>
                <w:rFonts w:cstheme="minorHAnsi"/>
                <w:sz w:val="18"/>
                <w:szCs w:val="18"/>
              </w:rPr>
            </w:pPr>
            <w:r w:rsidRPr="008F2106">
              <w:rPr>
                <w:rFonts w:cstheme="minorHAnsi"/>
                <w:sz w:val="18"/>
                <w:szCs w:val="18"/>
              </w:rPr>
              <w:t>Rationale</w:t>
            </w:r>
          </w:p>
        </w:tc>
      </w:tr>
      <w:tr w14:paraId="252F0DD9" w14:textId="77777777">
        <w:tblPrEx>
          <w:tblW w:w="0" w:type="auto"/>
          <w:tblInd w:w="-5" w:type="dxa"/>
          <w:tblLayout w:type="fixed"/>
          <w:tblLook w:val="04A0"/>
        </w:tblPrEx>
        <w:tc>
          <w:tcPr>
            <w:tcW w:w="775" w:type="dxa"/>
            <w:vMerge w:val="restart"/>
          </w:tcPr>
          <w:p w:rsidR="00464AC9" w:rsidRPr="008F2106" w:rsidP="00464AC9" w14:paraId="1BBC7F2E" w14:textId="77777777">
            <w:pPr>
              <w:rPr>
                <w:rFonts w:cstheme="minorHAnsi"/>
                <w:color w:val="000000" w:themeColor="text1"/>
                <w:sz w:val="18"/>
                <w:szCs w:val="18"/>
              </w:rPr>
            </w:pPr>
            <w:r w:rsidRPr="008F2106">
              <w:rPr>
                <w:rFonts w:cstheme="minorHAnsi"/>
                <w:color w:val="000000" w:themeColor="text1"/>
                <w:sz w:val="18"/>
                <w:szCs w:val="18"/>
              </w:rPr>
              <w:t>10</w:t>
            </w:r>
          </w:p>
        </w:tc>
        <w:tc>
          <w:tcPr>
            <w:tcW w:w="1164" w:type="dxa"/>
            <w:vMerge w:val="restart"/>
          </w:tcPr>
          <w:p w:rsidR="00464AC9" w:rsidRPr="008F2106" w:rsidP="00464AC9" w14:paraId="2967D783" w14:textId="77777777">
            <w:pPr>
              <w:rPr>
                <w:rFonts w:cstheme="minorHAnsi"/>
                <w:color w:val="000000" w:themeColor="text1"/>
                <w:sz w:val="18"/>
                <w:szCs w:val="18"/>
              </w:rPr>
            </w:pPr>
            <w:r w:rsidRPr="008F2106">
              <w:rPr>
                <w:rFonts w:cstheme="minorHAnsi"/>
                <w:color w:val="000000" w:themeColor="text1"/>
                <w:sz w:val="18"/>
                <w:szCs w:val="18"/>
              </w:rPr>
              <w:t>Over molding</w:t>
            </w:r>
          </w:p>
        </w:tc>
        <w:tc>
          <w:tcPr>
            <w:tcW w:w="1031" w:type="dxa"/>
            <w:vMerge w:val="restart"/>
          </w:tcPr>
          <w:p w:rsidR="00464AC9" w:rsidRPr="008F2106" w:rsidP="00464AC9" w14:paraId="0FC3813A" w14:textId="77777777">
            <w:pPr>
              <w:rPr>
                <w:rFonts w:cstheme="minorHAnsi"/>
                <w:color w:val="000000" w:themeColor="text1"/>
                <w:sz w:val="18"/>
                <w:szCs w:val="18"/>
              </w:rPr>
            </w:pPr>
            <w:r w:rsidRPr="008F2106">
              <w:rPr>
                <w:rFonts w:cstheme="minorHAnsi"/>
                <w:color w:val="000000" w:themeColor="text1"/>
                <w:sz w:val="18"/>
                <w:szCs w:val="18"/>
              </w:rPr>
              <w:t>Mold</w:t>
            </w:r>
          </w:p>
        </w:tc>
        <w:tc>
          <w:tcPr>
            <w:tcW w:w="900" w:type="dxa"/>
          </w:tcPr>
          <w:p w:rsidR="00464AC9" w:rsidRPr="008F2106" w:rsidP="00464AC9" w14:paraId="5A41503B" w14:textId="77777777">
            <w:pPr>
              <w:rPr>
                <w:rFonts w:cstheme="minorHAnsi"/>
                <w:color w:val="000000" w:themeColor="text1"/>
                <w:sz w:val="18"/>
                <w:szCs w:val="18"/>
              </w:rPr>
            </w:pPr>
            <w:r w:rsidRPr="008F2106">
              <w:rPr>
                <w:rFonts w:cstheme="minorHAnsi"/>
                <w:color w:val="000000" w:themeColor="text1"/>
                <w:sz w:val="18"/>
                <w:szCs w:val="18"/>
              </w:rPr>
              <w:t xml:space="preserve">Length = 25mm ± 1mm </w:t>
            </w:r>
          </w:p>
        </w:tc>
        <w:tc>
          <w:tcPr>
            <w:tcW w:w="900" w:type="dxa"/>
          </w:tcPr>
          <w:p w:rsidR="00464AC9" w:rsidRPr="008F2106" w:rsidP="00464AC9" w14:paraId="16AFD030" w14:textId="77777777">
            <w:pPr>
              <w:rPr>
                <w:rFonts w:cstheme="minorHAnsi"/>
                <w:color w:val="000000" w:themeColor="text1"/>
                <w:sz w:val="18"/>
                <w:szCs w:val="18"/>
              </w:rPr>
            </w:pPr>
            <w:r w:rsidRPr="008F2106">
              <w:rPr>
                <w:rFonts w:cstheme="minorHAnsi"/>
                <w:color w:val="000000" w:themeColor="text1"/>
                <w:sz w:val="18"/>
                <w:szCs w:val="18"/>
              </w:rPr>
              <w:t>CtQ-SEV2</w:t>
            </w:r>
          </w:p>
        </w:tc>
        <w:tc>
          <w:tcPr>
            <w:tcW w:w="630" w:type="dxa"/>
          </w:tcPr>
          <w:p w:rsidR="00464AC9" w:rsidRPr="008F2106" w:rsidP="00464AC9" w14:paraId="71D2725D" w14:textId="77777777">
            <w:pPr>
              <w:rPr>
                <w:rFonts w:cstheme="minorHAnsi"/>
                <w:color w:val="000000" w:themeColor="text1"/>
                <w:sz w:val="18"/>
                <w:szCs w:val="18"/>
              </w:rPr>
            </w:pPr>
            <w:r w:rsidRPr="008F2106">
              <w:rPr>
                <w:rFonts w:cstheme="minorHAnsi"/>
                <w:color w:val="000000" w:themeColor="text1"/>
                <w:sz w:val="18"/>
                <w:szCs w:val="18"/>
              </w:rPr>
              <w:t>NR</w:t>
            </w:r>
          </w:p>
        </w:tc>
        <w:tc>
          <w:tcPr>
            <w:tcW w:w="540" w:type="dxa"/>
          </w:tcPr>
          <w:p w:rsidR="00464AC9" w:rsidRPr="008F2106" w:rsidP="00464AC9" w14:paraId="317A4B14" w14:textId="77777777">
            <w:pPr>
              <w:rPr>
                <w:rFonts w:cstheme="minorHAnsi"/>
                <w:color w:val="000000" w:themeColor="text1"/>
                <w:sz w:val="18"/>
                <w:szCs w:val="18"/>
              </w:rPr>
            </w:pPr>
            <w:r w:rsidRPr="008F2106">
              <w:rPr>
                <w:rFonts w:cstheme="minorHAnsi"/>
                <w:color w:val="000000" w:themeColor="text1"/>
                <w:sz w:val="18"/>
                <w:szCs w:val="18"/>
              </w:rPr>
              <w:t>R</w:t>
            </w:r>
          </w:p>
        </w:tc>
        <w:tc>
          <w:tcPr>
            <w:tcW w:w="720" w:type="dxa"/>
          </w:tcPr>
          <w:p w:rsidR="00464AC9" w:rsidRPr="008F2106" w:rsidP="00464AC9" w14:paraId="3B9F0A52" w14:textId="77777777">
            <w:pPr>
              <w:rPr>
                <w:rFonts w:cstheme="minorHAnsi"/>
                <w:color w:val="000000" w:themeColor="text1"/>
                <w:sz w:val="18"/>
                <w:szCs w:val="18"/>
              </w:rPr>
            </w:pPr>
            <w:r w:rsidRPr="008F2106">
              <w:rPr>
                <w:rFonts w:cstheme="minorHAnsi"/>
                <w:color w:val="000000" w:themeColor="text1"/>
                <w:sz w:val="18"/>
                <w:szCs w:val="18"/>
              </w:rPr>
              <w:t>R</w:t>
            </w:r>
          </w:p>
        </w:tc>
        <w:tc>
          <w:tcPr>
            <w:tcW w:w="720" w:type="dxa"/>
          </w:tcPr>
          <w:p w:rsidR="00464AC9" w:rsidRPr="008F2106" w:rsidP="00464AC9" w14:paraId="5F5BAD46" w14:textId="77777777">
            <w:pPr>
              <w:rPr>
                <w:rFonts w:cstheme="minorHAnsi"/>
                <w:color w:val="000000" w:themeColor="text1"/>
                <w:sz w:val="18"/>
                <w:szCs w:val="18"/>
              </w:rPr>
            </w:pPr>
            <w:r w:rsidRPr="008F2106">
              <w:rPr>
                <w:rFonts w:cstheme="minorHAnsi"/>
                <w:color w:val="000000" w:themeColor="text1"/>
                <w:sz w:val="18"/>
                <w:szCs w:val="18"/>
              </w:rPr>
              <w:t>R</w:t>
            </w:r>
          </w:p>
        </w:tc>
        <w:tc>
          <w:tcPr>
            <w:tcW w:w="630" w:type="dxa"/>
          </w:tcPr>
          <w:p w:rsidR="00464AC9" w:rsidRPr="008F2106" w:rsidP="00464AC9" w14:paraId="5B134D31" w14:textId="77777777">
            <w:pPr>
              <w:rPr>
                <w:rFonts w:cstheme="minorHAnsi"/>
                <w:color w:val="000000" w:themeColor="text1"/>
                <w:sz w:val="18"/>
                <w:szCs w:val="18"/>
              </w:rPr>
            </w:pPr>
            <w:r w:rsidRPr="008F2106">
              <w:rPr>
                <w:rFonts w:cstheme="minorHAnsi"/>
                <w:color w:val="000000" w:themeColor="text1"/>
                <w:sz w:val="18"/>
                <w:szCs w:val="18"/>
              </w:rPr>
              <w:t>R</w:t>
            </w:r>
          </w:p>
        </w:tc>
        <w:tc>
          <w:tcPr>
            <w:tcW w:w="1170" w:type="dxa"/>
          </w:tcPr>
          <w:p w:rsidR="00464AC9" w:rsidRPr="008F2106" w:rsidP="00464AC9" w14:paraId="0E8526D2" w14:textId="77777777">
            <w:pPr>
              <w:rPr>
                <w:rFonts w:cstheme="minorHAnsi"/>
                <w:color w:val="000000" w:themeColor="text1"/>
                <w:sz w:val="18"/>
                <w:szCs w:val="18"/>
              </w:rPr>
            </w:pPr>
            <w:r w:rsidRPr="008F2106">
              <w:rPr>
                <w:rFonts w:cstheme="minorHAnsi"/>
                <w:color w:val="000000" w:themeColor="text1"/>
                <w:sz w:val="18"/>
                <w:szCs w:val="18"/>
              </w:rPr>
              <w:t>No Software</w:t>
            </w:r>
          </w:p>
        </w:tc>
      </w:tr>
      <w:tr w14:paraId="32772B78" w14:textId="77777777">
        <w:tblPrEx>
          <w:tblW w:w="0" w:type="auto"/>
          <w:tblInd w:w="-5" w:type="dxa"/>
          <w:tblLayout w:type="fixed"/>
          <w:tblLook w:val="04A0"/>
        </w:tblPrEx>
        <w:tc>
          <w:tcPr>
            <w:tcW w:w="775" w:type="dxa"/>
            <w:vMerge/>
          </w:tcPr>
          <w:p w:rsidR="00464AC9" w:rsidRPr="008F2106" w:rsidP="00464AC9" w14:paraId="19330338" w14:textId="77777777">
            <w:pPr>
              <w:rPr>
                <w:rFonts w:cstheme="minorHAnsi"/>
                <w:color w:val="000000" w:themeColor="text1"/>
                <w:sz w:val="18"/>
                <w:szCs w:val="18"/>
              </w:rPr>
            </w:pPr>
          </w:p>
        </w:tc>
        <w:tc>
          <w:tcPr>
            <w:tcW w:w="1164" w:type="dxa"/>
            <w:vMerge/>
          </w:tcPr>
          <w:p w:rsidR="00464AC9" w:rsidRPr="008F2106" w:rsidP="00464AC9" w14:paraId="550F3676" w14:textId="77777777">
            <w:pPr>
              <w:rPr>
                <w:rFonts w:cstheme="minorHAnsi"/>
                <w:color w:val="000000" w:themeColor="text1"/>
                <w:sz w:val="18"/>
                <w:szCs w:val="18"/>
              </w:rPr>
            </w:pPr>
          </w:p>
        </w:tc>
        <w:tc>
          <w:tcPr>
            <w:tcW w:w="1031" w:type="dxa"/>
            <w:vMerge/>
          </w:tcPr>
          <w:p w:rsidR="00464AC9" w:rsidRPr="008F2106" w:rsidP="00464AC9" w14:paraId="43A932C5" w14:textId="77777777">
            <w:pPr>
              <w:rPr>
                <w:rFonts w:cstheme="minorHAnsi"/>
                <w:color w:val="000000" w:themeColor="text1"/>
                <w:sz w:val="18"/>
                <w:szCs w:val="18"/>
              </w:rPr>
            </w:pPr>
          </w:p>
        </w:tc>
        <w:tc>
          <w:tcPr>
            <w:tcW w:w="900" w:type="dxa"/>
          </w:tcPr>
          <w:p w:rsidR="00464AC9" w:rsidRPr="008F2106" w:rsidP="00464AC9" w14:paraId="4D0D8A9B" w14:textId="77777777">
            <w:pPr>
              <w:rPr>
                <w:rFonts w:cstheme="minorHAnsi"/>
                <w:color w:val="000000" w:themeColor="text1"/>
                <w:sz w:val="18"/>
                <w:szCs w:val="18"/>
              </w:rPr>
            </w:pPr>
            <w:r w:rsidRPr="008F2106">
              <w:rPr>
                <w:rFonts w:cstheme="minorHAnsi"/>
                <w:color w:val="000000" w:themeColor="text1"/>
                <w:sz w:val="18"/>
                <w:szCs w:val="18"/>
              </w:rPr>
              <w:t>Pull Strength = 100 N min.</w:t>
            </w:r>
          </w:p>
        </w:tc>
        <w:tc>
          <w:tcPr>
            <w:tcW w:w="900" w:type="dxa"/>
          </w:tcPr>
          <w:p w:rsidR="00464AC9" w:rsidRPr="008F2106" w:rsidP="00464AC9" w14:paraId="1B8B2A63" w14:textId="77777777">
            <w:pPr>
              <w:rPr>
                <w:rFonts w:cstheme="minorHAnsi"/>
                <w:color w:val="000000" w:themeColor="text1"/>
                <w:sz w:val="18"/>
                <w:szCs w:val="18"/>
              </w:rPr>
            </w:pPr>
            <w:r w:rsidRPr="008F2106">
              <w:rPr>
                <w:rFonts w:cstheme="minorHAnsi"/>
                <w:color w:val="000000" w:themeColor="text1"/>
                <w:sz w:val="18"/>
                <w:szCs w:val="18"/>
              </w:rPr>
              <w:t>KPI</w:t>
            </w:r>
          </w:p>
        </w:tc>
        <w:tc>
          <w:tcPr>
            <w:tcW w:w="630" w:type="dxa"/>
          </w:tcPr>
          <w:p w:rsidR="00464AC9" w:rsidRPr="008F2106" w:rsidP="00464AC9" w14:paraId="44E5D5C8" w14:textId="77777777">
            <w:pPr>
              <w:rPr>
                <w:rFonts w:cstheme="minorHAnsi"/>
                <w:color w:val="000000" w:themeColor="text1"/>
                <w:sz w:val="18"/>
                <w:szCs w:val="18"/>
              </w:rPr>
            </w:pPr>
            <w:r w:rsidRPr="008F2106">
              <w:rPr>
                <w:rFonts w:cstheme="minorHAnsi"/>
                <w:color w:val="000000" w:themeColor="text1"/>
                <w:sz w:val="18"/>
                <w:szCs w:val="18"/>
              </w:rPr>
              <w:t>NR</w:t>
            </w:r>
          </w:p>
        </w:tc>
        <w:tc>
          <w:tcPr>
            <w:tcW w:w="540" w:type="dxa"/>
          </w:tcPr>
          <w:p w:rsidR="00464AC9" w:rsidRPr="008F2106" w:rsidP="00464AC9" w14:paraId="40472DE0" w14:textId="77777777">
            <w:pPr>
              <w:rPr>
                <w:rFonts w:cstheme="minorHAnsi"/>
                <w:color w:val="000000" w:themeColor="text1"/>
                <w:sz w:val="18"/>
                <w:szCs w:val="18"/>
              </w:rPr>
            </w:pPr>
            <w:r w:rsidRPr="008F2106">
              <w:rPr>
                <w:rFonts w:cstheme="minorHAnsi"/>
                <w:color w:val="000000" w:themeColor="text1"/>
                <w:sz w:val="18"/>
                <w:szCs w:val="18"/>
              </w:rPr>
              <w:t>R</w:t>
            </w:r>
          </w:p>
        </w:tc>
        <w:tc>
          <w:tcPr>
            <w:tcW w:w="720" w:type="dxa"/>
          </w:tcPr>
          <w:p w:rsidR="00464AC9" w:rsidRPr="008F2106" w:rsidP="00464AC9" w14:paraId="05B7CA83" w14:textId="77777777">
            <w:pPr>
              <w:rPr>
                <w:rFonts w:cstheme="minorHAnsi"/>
                <w:color w:val="000000" w:themeColor="text1"/>
                <w:sz w:val="18"/>
                <w:szCs w:val="18"/>
              </w:rPr>
            </w:pPr>
            <w:r w:rsidRPr="008F2106">
              <w:rPr>
                <w:rFonts w:cstheme="minorHAnsi"/>
                <w:color w:val="000000" w:themeColor="text1"/>
                <w:sz w:val="18"/>
                <w:szCs w:val="18"/>
              </w:rPr>
              <w:t>R</w:t>
            </w:r>
          </w:p>
        </w:tc>
        <w:tc>
          <w:tcPr>
            <w:tcW w:w="720" w:type="dxa"/>
          </w:tcPr>
          <w:p w:rsidR="00464AC9" w:rsidRPr="008F2106" w:rsidP="00464AC9" w14:paraId="76E0B8C9" w14:textId="77777777">
            <w:pPr>
              <w:rPr>
                <w:rFonts w:cstheme="minorHAnsi"/>
                <w:color w:val="000000" w:themeColor="text1"/>
                <w:sz w:val="18"/>
                <w:szCs w:val="18"/>
              </w:rPr>
            </w:pPr>
            <w:r w:rsidRPr="008F2106">
              <w:rPr>
                <w:rFonts w:cstheme="minorHAnsi"/>
                <w:color w:val="000000" w:themeColor="text1"/>
                <w:sz w:val="18"/>
                <w:szCs w:val="18"/>
              </w:rPr>
              <w:t>R</w:t>
            </w:r>
          </w:p>
        </w:tc>
        <w:tc>
          <w:tcPr>
            <w:tcW w:w="630" w:type="dxa"/>
          </w:tcPr>
          <w:p w:rsidR="00464AC9" w:rsidRPr="008F2106" w:rsidP="00464AC9" w14:paraId="261DF5E0" w14:textId="77777777">
            <w:pPr>
              <w:rPr>
                <w:rFonts w:cstheme="minorHAnsi"/>
                <w:color w:val="000000" w:themeColor="text1"/>
                <w:sz w:val="18"/>
                <w:szCs w:val="18"/>
              </w:rPr>
            </w:pPr>
            <w:r w:rsidRPr="008F2106">
              <w:rPr>
                <w:rFonts w:cstheme="minorHAnsi"/>
                <w:color w:val="000000" w:themeColor="text1"/>
                <w:sz w:val="18"/>
                <w:szCs w:val="18"/>
              </w:rPr>
              <w:t>R</w:t>
            </w:r>
          </w:p>
        </w:tc>
        <w:tc>
          <w:tcPr>
            <w:tcW w:w="1170" w:type="dxa"/>
          </w:tcPr>
          <w:p w:rsidR="00464AC9" w:rsidRPr="008F2106" w:rsidP="00464AC9" w14:paraId="666E59C8" w14:textId="77777777">
            <w:pPr>
              <w:keepNext/>
              <w:rPr>
                <w:rFonts w:cstheme="minorHAnsi"/>
                <w:color w:val="000000" w:themeColor="text1"/>
                <w:sz w:val="18"/>
                <w:szCs w:val="18"/>
              </w:rPr>
            </w:pPr>
            <w:r w:rsidRPr="008F2106">
              <w:rPr>
                <w:rFonts w:cstheme="minorHAnsi"/>
                <w:color w:val="000000" w:themeColor="text1"/>
                <w:sz w:val="18"/>
                <w:szCs w:val="18"/>
              </w:rPr>
              <w:t>No Software</w:t>
            </w:r>
          </w:p>
        </w:tc>
      </w:tr>
    </w:tbl>
    <w:p w:rsidR="00464AC9" w:rsidRPr="008F2106" w14:paraId="6903CB47" w14:textId="1292E1F9">
      <w:pPr>
        <w:pStyle w:val="Caption"/>
      </w:pPr>
      <w:r w:rsidRPr="008F2106">
        <w:t xml:space="preserve">Table </w:t>
      </w:r>
      <w:r w:rsidRPr="008F2106">
        <w:fldChar w:fldCharType="begin"/>
      </w:r>
      <w:r w:rsidRPr="008F2106">
        <w:instrText xml:space="preserve"> SEQ Tabel \* ARABIC </w:instrText>
      </w:r>
      <w:r w:rsidRPr="008F2106">
        <w:fldChar w:fldCharType="separate"/>
      </w:r>
      <w:r w:rsidRPr="008F2106">
        <w:t>2</w:t>
      </w:r>
      <w:r w:rsidRPr="008F2106">
        <w:fldChar w:fldCharType="end"/>
      </w:r>
      <w:r w:rsidRPr="008F2106">
        <w:t>: Example of a Summary Table in a Process Validation Plan</w:t>
      </w:r>
    </w:p>
    <w:p w:rsidR="00464AC9" w:rsidRPr="008F2106" w:rsidP="00EE1EA6" w14:paraId="20CB5DF5" w14:textId="77777777">
      <w:pPr>
        <w:rPr>
          <w:sz w:val="20"/>
          <w:szCs w:val="18"/>
        </w:rPr>
      </w:pPr>
      <w:r w:rsidRPr="008F2106">
        <w:rPr>
          <w:sz w:val="20"/>
          <w:szCs w:val="18"/>
          <w:vertAlign w:val="superscript"/>
        </w:rPr>
        <w:t>1</w:t>
      </w:r>
      <w:r w:rsidRPr="008F2106">
        <w:rPr>
          <w:sz w:val="20"/>
          <w:szCs w:val="18"/>
        </w:rPr>
        <w:t>SWV = Software Validation (applies to custom software which is executed separately from IQ).</w:t>
      </w:r>
    </w:p>
    <w:p w:rsidR="00464AC9" w:rsidRPr="008F2106" w:rsidP="00EE1EA6" w14:paraId="34E03ECB" w14:textId="77777777">
      <w:pPr>
        <w:rPr>
          <w:sz w:val="20"/>
          <w:szCs w:val="18"/>
        </w:rPr>
      </w:pPr>
      <w:r w:rsidRPr="008F2106">
        <w:rPr>
          <w:sz w:val="20"/>
          <w:szCs w:val="18"/>
          <w:vertAlign w:val="superscript"/>
        </w:rPr>
        <w:t>2</w:t>
      </w:r>
      <w:r w:rsidRPr="008F2106">
        <w:rPr>
          <w:sz w:val="20"/>
          <w:szCs w:val="18"/>
        </w:rPr>
        <w:t xml:space="preserve">R on OQ and/or PQ implies that process is being validated. </w:t>
      </w:r>
    </w:p>
    <w:p w:rsidR="00E52AE5" w:rsidP="00464AC9" w14:paraId="71717DB0" w14:textId="517A2FF6">
      <w:pPr>
        <w:rPr>
          <w:rFonts w:ascii="Calibri" w:hAnsi="Calibri" w:cs="Calibri"/>
          <w:color w:val="0070C0"/>
          <w:sz w:val="24"/>
          <w:szCs w:val="24"/>
        </w:rPr>
      </w:pPr>
      <w:r>
        <w:rPr>
          <w:rFonts w:ascii="Calibri" w:hAnsi="Calibri" w:cs="Calibri"/>
          <w:color w:val="0070C0"/>
          <w:sz w:val="24"/>
          <w:szCs w:val="24"/>
        </w:rPr>
        <w:br w:type="page"/>
      </w:r>
    </w:p>
    <w:p w:rsidR="00464AC9" w:rsidP="00A61F37" w14:paraId="53A31B7D" w14:textId="2DD607C7">
      <w:pPr>
        <w:pStyle w:val="Heading1"/>
      </w:pPr>
      <w:bookmarkStart w:id="17" w:name="_Toc256000014"/>
      <w:r w:rsidRPr="008F2106">
        <w:t>Installation Qualification (IQ)</w:t>
      </w:r>
      <w:bookmarkEnd w:id="17"/>
      <w:r w:rsidRPr="008F2106">
        <w:t xml:space="preserve"> </w:t>
      </w:r>
    </w:p>
    <w:p w:rsidR="00550CE1" w:rsidRPr="008F2106" w:rsidP="007067BB" w14:paraId="48FFFE6C" w14:textId="77777777">
      <w:r w:rsidRPr="008F2106">
        <w:t>According to the GHTF guidance [Ref-1], IQ is defined as establishing by objective evidence that all key aspects of the process equipment and ancillary system installation adhere to the manufacturer’s approved specification and that the recommendations of the supplier of the equipment are suitably considered.</w:t>
      </w:r>
    </w:p>
    <w:p w:rsidR="00550CE1" w:rsidRPr="008F2106" w:rsidP="007067BB" w14:paraId="1FD060E9" w14:textId="77777777"/>
    <w:p w:rsidR="001D7BB4" w:rsidP="001D7BB4" w14:paraId="0A61212F" w14:textId="52490A91">
      <w:r w:rsidRPr="008F2106">
        <w:t>IQ establishes a foundation for other qualification activities by assuring the equipment is properly constructed, placed, and installed to facilitate maintenance, adjustment, cleaning, and use. Calibration is also an important facet of IQ as it ensures the instrumentation used to measure process inputs and process outputs meets accuracy requirements and is operating within its specified tolerances.</w:t>
      </w:r>
      <w:bookmarkStart w:id="18" w:name="_Toc166687335"/>
      <w:bookmarkStart w:id="19" w:name="_Toc188651131"/>
    </w:p>
    <w:p w:rsidR="001D7BB4" w:rsidRPr="008F2106" w:rsidP="00EE1EA6" w14:paraId="30AE80CF" w14:textId="4885A993">
      <w:pPr>
        <w:pStyle w:val="Heading2"/>
      </w:pPr>
      <w:bookmarkStart w:id="20" w:name="_Toc256000015"/>
      <w:r>
        <w:t>IQ Applicability</w:t>
      </w:r>
      <w:bookmarkEnd w:id="20"/>
    </w:p>
    <w:p w:rsidR="0020113A" w:rsidP="00506781" w14:paraId="5707C50F" w14:textId="77777777">
      <w:r w:rsidRPr="008F2106">
        <w:t xml:space="preserve">IQ applies to the qualification of equipment used to manufacture, test, assemble, label, and package medical devices (parts, elements, products, systems). </w:t>
      </w:r>
    </w:p>
    <w:p w:rsidR="00B451B9" w:rsidP="00837D3D" w14:paraId="3B33B388" w14:textId="77777777">
      <w:pPr>
        <w:pStyle w:val="Heading3"/>
      </w:pPr>
      <w:r w:rsidRPr="008F2106">
        <w:t xml:space="preserve">IQ is typically not required for hand tools like screw drivers, hammers, pliers, etc. unless these tools are customized for a specific process and use. </w:t>
      </w:r>
    </w:p>
    <w:p w:rsidR="008A5FE9" w:rsidP="00837D3D" w14:paraId="4AA44E10" w14:textId="77777777">
      <w:pPr>
        <w:pStyle w:val="Heading3"/>
      </w:pPr>
      <w:r>
        <w:t>Simple o</w:t>
      </w:r>
      <w:r w:rsidRPr="008F2106" w:rsidR="0049387E">
        <w:t xml:space="preserve">ff-the-shelf </w:t>
      </w:r>
      <w:r w:rsidR="001013D9">
        <w:t>catalog equipment</w:t>
      </w:r>
      <w:r w:rsidRPr="008F2106" w:rsidR="0049387E">
        <w:t xml:space="preserve"> without software </w:t>
      </w:r>
      <w:r w:rsidR="001013D9">
        <w:t xml:space="preserve">and without utilities </w:t>
      </w:r>
      <w:r w:rsidRPr="008F2106" w:rsidR="0049387E">
        <w:t xml:space="preserve">such as calipers, micrometers, </w:t>
      </w:r>
      <w:r w:rsidR="004920EC">
        <w:t xml:space="preserve">pin gauges, </w:t>
      </w:r>
      <w:r w:rsidRPr="008F2106" w:rsidR="0049387E">
        <w:t xml:space="preserve">voltmeters, </w:t>
      </w:r>
      <w:r w:rsidR="004920EC">
        <w:t xml:space="preserve">etc., do not require qualification </w:t>
      </w:r>
      <w:r w:rsidR="004920EC">
        <w:t>as long as</w:t>
      </w:r>
      <w:r w:rsidR="004920EC">
        <w:t xml:space="preserve"> the need for calibration and preventive maintenance</w:t>
      </w:r>
      <w:r w:rsidR="00AB113C">
        <w:t xml:space="preserve"> is assesse</w:t>
      </w:r>
      <w:r w:rsidR="00B451B9">
        <w:t>d</w:t>
      </w:r>
      <w:r w:rsidR="00AB113C">
        <w:t xml:space="preserve">, and if required, the equipment is added to the local calibration and/or preventive maintenance systems. The functionality is defined and verified by </w:t>
      </w:r>
      <w:r>
        <w:t xml:space="preserve">the </w:t>
      </w:r>
      <w:r w:rsidRPr="008F2106" w:rsidR="0049387E">
        <w:t xml:space="preserve">calibration </w:t>
      </w:r>
      <w:r w:rsidR="00790A31">
        <w:t>process. The suitability and calibration status of these tools and instruments</w:t>
      </w:r>
      <w:r w:rsidR="0020113A">
        <w:t xml:space="preserve"> are verified before use. </w:t>
      </w:r>
    </w:p>
    <w:p w:rsidR="0049387E" w:rsidRPr="008F2106" w:rsidP="00837D3D" w14:paraId="2B21A55F" w14:textId="7EFD1DB2">
      <w:pPr>
        <w:pStyle w:val="Heading3"/>
      </w:pPr>
      <w:r w:rsidRPr="008F2106">
        <w:t>All other equipment requiring qualifications requires the application of an IQ protocol.</w:t>
      </w:r>
    </w:p>
    <w:p w:rsidR="00550CE1" w:rsidRPr="008F2106" w:rsidP="00EE1EA6" w14:paraId="1EDEC0F0" w14:textId="4483F2CC">
      <w:pPr>
        <w:pStyle w:val="Heading2"/>
      </w:pPr>
      <w:bookmarkStart w:id="21" w:name="_Toc256000016"/>
      <w:r w:rsidRPr="008F2106">
        <w:t>IQ Prerequisites</w:t>
      </w:r>
      <w:bookmarkEnd w:id="21"/>
      <w:bookmarkEnd w:id="18"/>
      <w:bookmarkEnd w:id="19"/>
    </w:p>
    <w:p w:rsidR="00550CE1" w:rsidRPr="008F2106" w:rsidP="00837D3D" w14:paraId="629C79F2" w14:textId="17629775">
      <w:pPr>
        <w:pStyle w:val="Heading3"/>
      </w:pPr>
      <w:r>
        <w:t>T</w:t>
      </w:r>
      <w:r w:rsidRPr="008F2106">
        <w:t>he supplier should generate and approve equipment requirements before purchasing the equipment. Custom equipment should not be purchased without equipment requirements.</w:t>
      </w:r>
    </w:p>
    <w:p w:rsidR="00550CE1" w:rsidRPr="008F2106" w:rsidP="00837D3D" w14:paraId="27FF330D" w14:textId="77777777">
      <w:pPr>
        <w:pStyle w:val="Heading3"/>
      </w:pPr>
      <w:r w:rsidRPr="008F2106">
        <w:t>The equipment manufacturer’s operating manual, user manual, installation instructions, etc. must be controlled and approved.</w:t>
      </w:r>
    </w:p>
    <w:p w:rsidR="00550CE1" w:rsidRPr="008F2106" w:rsidP="00837D3D" w14:paraId="0456300D" w14:textId="77777777">
      <w:pPr>
        <w:pStyle w:val="Heading3"/>
      </w:pPr>
      <w:r w:rsidRPr="008F2106">
        <w:t>A preventative maintenance (PM) process/procedure must be in place, the equipment must be part of a controlled PM schedule, and the applicable maintenance instruction must be controlled and approved.</w:t>
      </w:r>
    </w:p>
    <w:p w:rsidR="00550CE1" w:rsidRPr="008F2106" w:rsidP="00837D3D" w14:paraId="797E0A48" w14:textId="77777777">
      <w:pPr>
        <w:pStyle w:val="Heading3"/>
      </w:pPr>
      <w:r w:rsidRPr="008F2106">
        <w:t>A calibration process/procedure must be in place, and the applicable calibration instructions must be controlled and approved.</w:t>
      </w:r>
    </w:p>
    <w:p w:rsidR="00550CE1" w:rsidRPr="008F2106" w:rsidP="00837D3D" w14:paraId="735D68C2" w14:textId="77777777">
      <w:pPr>
        <w:pStyle w:val="Heading3"/>
      </w:pPr>
      <w:r w:rsidRPr="008F2106">
        <w:t>Completed software validation for equipment that uses custom software, and supporting infrastructure for equipment which stores electronic signatures or quality data.</w:t>
      </w:r>
    </w:p>
    <w:p w:rsidR="00BE0EE4" w:rsidP="00837D3D" w14:paraId="160FA7BF" w14:textId="7F7A4DC2">
      <w:pPr>
        <w:pStyle w:val="Heading3"/>
      </w:pPr>
      <w:r w:rsidRPr="008F2106">
        <w:t>Approved IQ protocol, including defined acceptance criteria and training for personnel (if not executed by protocol originator) executing the protocol.</w:t>
      </w:r>
      <w:bookmarkStart w:id="22" w:name="_Toc166687336"/>
      <w:bookmarkStart w:id="23" w:name="_Toc188651132"/>
    </w:p>
    <w:p w:rsidR="00550CE1" w:rsidRPr="008F2106" w:rsidP="00EE1EA6" w14:paraId="5AA1924D" w14:textId="6957B132">
      <w:pPr>
        <w:pStyle w:val="Heading2"/>
      </w:pPr>
      <w:bookmarkStart w:id="24" w:name="_Toc256000017"/>
      <w:r w:rsidRPr="008F2106">
        <w:t>Equipment Requirements</w:t>
      </w:r>
      <w:bookmarkEnd w:id="24"/>
      <w:bookmarkEnd w:id="22"/>
      <w:bookmarkEnd w:id="23"/>
    </w:p>
    <w:p w:rsidR="00550CE1" w:rsidRPr="008F2106" w:rsidP="00837D3D" w14:paraId="0376796E" w14:textId="77777777">
      <w:pPr>
        <w:pStyle w:val="Heading3"/>
      </w:pPr>
      <w:r w:rsidRPr="008F2106">
        <w:t>The supplier should create an equipment requirements document to describe the requirements for the equipment. For commercial off-the-shelf (COTS) equipment the equipment manufacturer’s specifications may be used as a reference.</w:t>
      </w:r>
    </w:p>
    <w:p w:rsidR="00550CE1" w:rsidRPr="008F2106" w:rsidP="00837D3D" w14:paraId="731D2230" w14:textId="1545683D">
      <w:pPr>
        <w:pStyle w:val="Heading3"/>
      </w:pPr>
      <w:r w:rsidRPr="008F2106">
        <w:t xml:space="preserve">The COTS equipment may offer more capabilities than needed by the Philips supplier. It is up to the supplier to qualify the equipment against their actual requirements or the equipment manufacturer’s specifications. Functionality not included in the </w:t>
      </w:r>
      <w:r w:rsidR="00F50242">
        <w:t>equipment qualification</w:t>
      </w:r>
      <w:r w:rsidRPr="008F2106">
        <w:t xml:space="preserve"> may not be used during production or testing of Philips product. Information about limited equipment use must be posted on or near the equipment.</w:t>
      </w:r>
    </w:p>
    <w:p w:rsidR="00550CE1" w:rsidP="00837D3D" w14:paraId="3FB5723D" w14:textId="77777777">
      <w:pPr>
        <w:pStyle w:val="Heading3"/>
      </w:pPr>
      <w:r w:rsidRPr="008F2106">
        <w:t>During installation qualification, the supplier must verify that the purchased equipment meets the previously defined requirements or the manufacturer’s specifications.</w:t>
      </w:r>
    </w:p>
    <w:p w:rsidR="00FB2EDF" w:rsidRPr="008F2106" w:rsidP="00EE1EA6" w14:paraId="59FF5D0C" w14:textId="049A9DC7">
      <w:pPr>
        <w:pStyle w:val="Heading2"/>
      </w:pPr>
      <w:bookmarkStart w:id="25" w:name="_Toc256000018"/>
      <w:r w:rsidRPr="008F2106">
        <w:t>IQ Protocol</w:t>
      </w:r>
      <w:bookmarkEnd w:id="25"/>
      <w:r w:rsidRPr="008F2106">
        <w:t xml:space="preserve"> </w:t>
      </w:r>
    </w:p>
    <w:p w:rsidR="00550CE1" w:rsidRPr="008F2106" w:rsidP="002B46AE" w14:paraId="3F950BB4" w14:textId="51A4452E">
      <w:r w:rsidRPr="008F2106">
        <w:t xml:space="preserve">Each piece of equipment, fixturing, and tooling must be assigned and labeled with an identification (ID) number for traceability. When multiple, duplicate pieces of equipment are purchased, each equipment is qualified separately. </w:t>
      </w:r>
    </w:p>
    <w:p w:rsidR="00550CE1" w:rsidRPr="008F2106" w:rsidP="002B46AE" w14:paraId="53EEE111" w14:textId="77777777"/>
    <w:p w:rsidR="00550CE1" w:rsidRPr="008F2106" w:rsidP="002B46AE" w14:paraId="0E3D1981" w14:textId="77777777">
      <w:r w:rsidRPr="008F2106">
        <w:t xml:space="preserve">The following is a description of a comprehensive IQ protocol and report template which is typically used for complex equipment. Tooling, fixtures, and simple handheld equipment, etc. may use a simpler IQ protocol-report template (not discussed in this guideline). </w:t>
      </w:r>
    </w:p>
    <w:p w:rsidR="00550CE1" w:rsidRPr="008F2106" w:rsidP="00837D3D" w14:paraId="5908128C" w14:textId="6DE2B712">
      <w:pPr>
        <w:pStyle w:val="Heading3"/>
      </w:pPr>
      <w:r w:rsidRPr="00C71627">
        <w:rPr>
          <w:b/>
          <w:bCs/>
        </w:rPr>
        <w:t>Purpose</w:t>
      </w:r>
      <w:r w:rsidRPr="008F2106">
        <w:t xml:space="preserve"> </w:t>
      </w:r>
      <w:r w:rsidRPr="008F2106" w:rsidR="00BE08D1">
        <w:t xml:space="preserve">- </w:t>
      </w:r>
      <w:r w:rsidRPr="008F2106">
        <w:t>The following is an example of an IQ purpose statement:</w:t>
      </w:r>
    </w:p>
    <w:p w:rsidR="00550CE1" w:rsidRPr="008F2106" w:rsidP="00ED25A4" w14:paraId="25BC76E7" w14:textId="77777777">
      <w:pPr>
        <w:pStyle w:val="ListParagraph"/>
        <w:numPr>
          <w:ilvl w:val="0"/>
          <w:numId w:val="0"/>
        </w:numPr>
        <w:spacing w:after="60"/>
        <w:ind w:left="720"/>
        <w:rPr>
          <w:i/>
          <w:iCs/>
        </w:rPr>
      </w:pPr>
      <w:r w:rsidRPr="008F2106">
        <w:rPr>
          <w:i/>
          <w:iCs/>
        </w:rPr>
        <w:t>The purpose of this installation qualification is to establish by objective evidence that the equipment and its ancillary systems have been installed to the manufacturer’s specifications and that the equipment is appropriately designed to facilitate maintenance, adjustments, cleaning, and use.</w:t>
      </w:r>
    </w:p>
    <w:p w:rsidR="00550CE1" w:rsidRPr="008F2106" w:rsidP="00837D3D" w14:paraId="4A2A40ED" w14:textId="0EF7D4DB">
      <w:pPr>
        <w:pStyle w:val="Heading3"/>
      </w:pPr>
      <w:r w:rsidRPr="00C71627">
        <w:rPr>
          <w:b/>
          <w:bCs/>
        </w:rPr>
        <w:t>Scope</w:t>
      </w:r>
      <w:r w:rsidRPr="008F2106" w:rsidR="00BE08D1">
        <w:t xml:space="preserve"> -</w:t>
      </w:r>
      <w:r w:rsidRPr="008F2106">
        <w:t xml:space="preserve"> Describes the equipment including name, model number, serial number, and as applicable the installation location.</w:t>
      </w:r>
    </w:p>
    <w:p w:rsidR="00550CE1" w:rsidRPr="008F2106" w:rsidP="00837D3D" w14:paraId="5209A91A" w14:textId="7EA9305F">
      <w:pPr>
        <w:pStyle w:val="Heading3"/>
      </w:pPr>
      <w:r w:rsidRPr="00C71627">
        <w:rPr>
          <w:b/>
          <w:bCs/>
        </w:rPr>
        <w:t>Protocol Training</w:t>
      </w:r>
      <w:r w:rsidRPr="008F2106" w:rsidR="00BE08D1">
        <w:t xml:space="preserve"> -</w:t>
      </w:r>
      <w:r w:rsidRPr="008F2106">
        <w:t xml:space="preserve"> The protocol executors must be trained by the protocol author on how to execute the protocol. Training records must be attached to the IQ report. Training is not required if the protocol author is also the executor. Everyone else working on the IQ execution must be trained.</w:t>
      </w:r>
    </w:p>
    <w:p w:rsidR="00550CE1" w:rsidRPr="008F2106" w:rsidP="00837D3D" w14:paraId="57A91E97" w14:textId="4B09EEB0">
      <w:pPr>
        <w:pStyle w:val="Heading3"/>
      </w:pPr>
      <w:r w:rsidRPr="00C71627">
        <w:rPr>
          <w:b/>
          <w:bCs/>
        </w:rPr>
        <w:t>Equipment Location and Portability</w:t>
      </w:r>
      <w:r w:rsidRPr="008F2106" w:rsidR="00BE08D1">
        <w:t xml:space="preserve"> -</w:t>
      </w:r>
      <w:r w:rsidRPr="008F2106">
        <w:t xml:space="preserve"> The IQ protocol must describe the equipment location, and if the equipment is stationary or portable. If the equipment is portable, an allowable range of portability must be specified, and equipment portability is verified during IQ execution. Portable equipment does not require requalification if it is moved within the authorized range.</w:t>
      </w:r>
    </w:p>
    <w:p w:rsidR="00550CE1" w:rsidRPr="008F2106" w:rsidP="00837D3D" w14:paraId="0E076006" w14:textId="168AD727">
      <w:pPr>
        <w:pStyle w:val="Heading4"/>
      </w:pPr>
      <w:r w:rsidRPr="008F2106">
        <w:t>Note</w:t>
      </w:r>
      <w:r w:rsidRPr="008F2106">
        <w:t xml:space="preserve">: </w:t>
      </w:r>
      <w:r w:rsidRPr="008F2106">
        <w:t xml:space="preserve">to verify portability of a table-top machine, first define the process that must be followed when portable equipment is moved. Then move the equipment during IQ to one or two allowed locations following the established process and verify the expected outcome </w:t>
      </w:r>
      <w:r w:rsidR="00192F3A">
        <w:t>as part of IQ execution.</w:t>
      </w:r>
    </w:p>
    <w:p w:rsidR="00550CE1" w:rsidRPr="008F2106" w:rsidP="00837D3D" w14:paraId="4BFB7F80" w14:textId="46080DC5">
      <w:pPr>
        <w:pStyle w:val="Heading3"/>
      </w:pPr>
      <w:r w:rsidRPr="00192F3A">
        <w:rPr>
          <w:b/>
          <w:bCs/>
        </w:rPr>
        <w:t>Documentation Check</w:t>
      </w:r>
      <w:r w:rsidRPr="008F2106" w:rsidR="00BE08D1">
        <w:t xml:space="preserve"> -</w:t>
      </w:r>
      <w:r w:rsidRPr="008F2106">
        <w:t xml:space="preserve"> Verification that applicable equipment documents are controlled and approved. Examples of such documents are operating manuals, equipment specifications, schematics, and technical drawings. Both document name and document number are described in the IQ protocol, and the protocol executor verifies that all applicable documents exist and are approved.</w:t>
      </w:r>
    </w:p>
    <w:p w:rsidR="00550CE1" w:rsidRPr="008F2106" w:rsidP="00837D3D" w14:paraId="0A57299F" w14:textId="412DCEC6">
      <w:pPr>
        <w:pStyle w:val="Heading3"/>
      </w:pPr>
      <w:r w:rsidRPr="00192F3A">
        <w:rPr>
          <w:b/>
          <w:bCs/>
        </w:rPr>
        <w:t>Major Components Verification</w:t>
      </w:r>
      <w:r w:rsidRPr="008F2106" w:rsidR="00BE08D1">
        <w:t xml:space="preserve"> -</w:t>
      </w:r>
      <w:r w:rsidRPr="008F2106">
        <w:rPr>
          <w:b/>
        </w:rPr>
        <w:t xml:space="preserve"> </w:t>
      </w:r>
      <w:r w:rsidRPr="008F2106">
        <w:t>As applicable, the major components are verified to concur with the manufacturer and model number specified in the equipment requirements or design specifications. Examples of major components are motors, pumps, barrels (injection molding machine), Human Machine Interface panels, etc.</w:t>
      </w:r>
    </w:p>
    <w:p w:rsidR="00550CE1" w:rsidRPr="008F2106" w:rsidP="00837D3D" w14:paraId="4CE45D40" w14:textId="4C2DEFAB">
      <w:pPr>
        <w:pStyle w:val="Heading3"/>
      </w:pPr>
      <w:r w:rsidRPr="005A39E6">
        <w:rPr>
          <w:b/>
          <w:bCs/>
        </w:rPr>
        <w:t>Verification of Equipment Requirements</w:t>
      </w:r>
      <w:r w:rsidRPr="008F2106" w:rsidR="00BE08D1">
        <w:t xml:space="preserve"> -</w:t>
      </w:r>
      <w:r w:rsidRPr="008F2106">
        <w:rPr>
          <w:b/>
        </w:rPr>
        <w:t xml:space="preserve"> </w:t>
      </w:r>
      <w:r w:rsidRPr="008F2106">
        <w:t>Verification that the equipment requirements are met. The requirements should be described in the equipment requirements document. Each requirement is copied from the equipment requirements document to the IQ protocol and a verification method is listed in the IQ protocol. Verification can be by visual examination (example: verification of specification sheet that the equipment was designed for 3P380V) or a test/measurement.</w:t>
      </w:r>
    </w:p>
    <w:p w:rsidR="002E6B79" w:rsidP="00837D3D" w14:paraId="4B16EF6B" w14:textId="49EBB39D">
      <w:pPr>
        <w:pStyle w:val="Heading4"/>
      </w:pPr>
      <w:r w:rsidRPr="008F2106">
        <w:t xml:space="preserve">Verify that all equipment requirements are met. </w:t>
      </w:r>
    </w:p>
    <w:p w:rsidR="00B37997" w:rsidP="00837D3D" w14:paraId="43269AA1" w14:textId="77777777">
      <w:pPr>
        <w:pStyle w:val="Heading4"/>
      </w:pPr>
      <w:r w:rsidRPr="008F2106">
        <w:t>Equipment which is not qualified for the entire range specified by the equipment manufacturer needs to be labeled to indicate the limited qualified operating range. Alternatively, the limited qualified range can also be documented in work instructions, and process operators need to be trained accordingly. As applicable, verify that a limited operating range is properly documented.</w:t>
      </w:r>
    </w:p>
    <w:p w:rsidR="00B37997" w:rsidP="00837D3D" w14:paraId="334D84B5" w14:textId="77777777">
      <w:pPr>
        <w:pStyle w:val="Heading4"/>
      </w:pPr>
      <w:r w:rsidRPr="008F2106">
        <w:t>Verification of requirements includes functional checks such as for instance temperature or pressure mapping. For instance, the annealing oven may have a requirement to maintain temperature within ±2°C. The oven temperature, including stability, should be checked over the qualified operating range in multiple locations inside the chamber to provide objective evidence that the equipment meets the requirements. Ramp-up and stabilization times should also be evaluated. Note: During IQ, the oven may be mapped to verify that the equipment requirements are met. Additional process mapping may also need to be done as part of process characterization to verify that the equipment meets the requirements of a specific process.</w:t>
      </w:r>
    </w:p>
    <w:p w:rsidR="00B37997" w:rsidP="00837D3D" w14:paraId="07FD511D" w14:textId="77777777">
      <w:pPr>
        <w:pStyle w:val="Heading4"/>
      </w:pPr>
      <w:r w:rsidRPr="008F2106">
        <w:t xml:space="preserve">The intrinsic equipment variation should be established because this information will be used during OQ and PQ to develop and monitor process parameters. For instance, the oven temperature of the annealing oven could be set to 145°C and monitored for a defined </w:t>
      </w:r>
      <w:r w:rsidRPr="008F2106">
        <w:t>time period</w:t>
      </w:r>
      <w:r w:rsidRPr="008F2106">
        <w:t xml:space="preserve"> to understand the inherent temperature variation.</w:t>
      </w:r>
    </w:p>
    <w:p w:rsidR="00550CE1" w:rsidRPr="008F2106" w:rsidP="00837D3D" w14:paraId="39291A15" w14:textId="1B4A2F17">
      <w:pPr>
        <w:pStyle w:val="Heading4"/>
      </w:pPr>
      <w:r w:rsidRPr="008F2106">
        <w:t>Verification is required to ensure that the equipment is suitable for the intended purpose. If COTS equipment is used differently than what the original equipment manufacturer specified it for, the device manufacturer (user of the equipment) must complete additional testing and provide objective evidence that the equipment is effective and meets the equipment user’s requirements outside of the equipment manufacturer’s specifications. For example, a water deionizing system may be designed for a flow rate of 200ml/min to 500ml/min. The device manufacturer wants to use this equipment at 100ml/min. This is outside the equipment manufacturer’s specified operating range; therefore, the device manufacturer must ensure that the equipment is effective and is suitable for its intended use when used with a flow rate of 100ml/min.</w:t>
      </w:r>
    </w:p>
    <w:p w:rsidR="00550CE1" w:rsidRPr="008F2106" w:rsidP="00837D3D" w14:paraId="78DA5B96" w14:textId="44ADAAD7">
      <w:pPr>
        <w:pStyle w:val="Heading4"/>
      </w:pPr>
      <w:r w:rsidRPr="008F2106">
        <w:t>Operational Verification</w:t>
      </w:r>
      <w:r w:rsidRPr="008F2106" w:rsidR="008F2106">
        <w:t xml:space="preserve"> -</w:t>
      </w:r>
      <w:r w:rsidR="008F2106">
        <w:t xml:space="preserve"> </w:t>
      </w:r>
      <w:r w:rsidRPr="008F2106">
        <w:t xml:space="preserve"> Equipment operation must be verified.  This includes the verification of equipment start up and operational sequence.</w:t>
      </w:r>
    </w:p>
    <w:p w:rsidR="00550CE1" w:rsidRPr="008F2106" w:rsidP="00837D3D" w14:paraId="6BF88007" w14:textId="20BE43FD">
      <w:pPr>
        <w:pStyle w:val="Heading4"/>
      </w:pPr>
      <w:r w:rsidRPr="008F2106">
        <w:t>Utility Loss</w:t>
      </w:r>
      <w:r w:rsidRPr="008F2106" w:rsidR="008F2106">
        <w:t xml:space="preserve"> -</w:t>
      </w:r>
      <w:r w:rsidRPr="008F2106">
        <w:t xml:space="preserve"> A utility loss should be tested to ensure that equipment goes into safe mode after loss of utility, and that the equipment recovers according to the defined requirements.</w:t>
      </w:r>
    </w:p>
    <w:p w:rsidR="00550CE1" w:rsidRPr="008F2106" w:rsidP="00837D3D" w14:paraId="3754742B" w14:textId="694D2D1C">
      <w:pPr>
        <w:pStyle w:val="Heading4"/>
      </w:pPr>
      <w:r w:rsidRPr="008F2106">
        <w:t>Operator Screen Navigation</w:t>
      </w:r>
      <w:r w:rsidRPr="008F2106" w:rsidR="008F2106">
        <w:t xml:space="preserve"> -</w:t>
      </w:r>
      <w:r w:rsidRPr="008F2106">
        <w:t xml:space="preserve"> </w:t>
      </w:r>
      <w:bookmarkStart w:id="26" w:name="_Hlk188555567"/>
      <w:r w:rsidRPr="008F2106">
        <w:t>Verification that operator interface and controls used in the operation of the equipment meet the expected results.</w:t>
      </w:r>
      <w:bookmarkEnd w:id="26"/>
      <w:r w:rsidRPr="008F2106">
        <w:t xml:space="preserve"> This includes verification of access rights.</w:t>
      </w:r>
    </w:p>
    <w:p w:rsidR="00550CE1" w:rsidRPr="008F2106" w:rsidP="00837D3D" w14:paraId="3DF9778E" w14:textId="5910154D">
      <w:pPr>
        <w:pStyle w:val="Heading3"/>
        <w:rPr>
          <w:b/>
          <w:u w:val="single"/>
        </w:rPr>
      </w:pPr>
      <w:r w:rsidRPr="00D41C72">
        <w:rPr>
          <w:b/>
          <w:bCs/>
        </w:rPr>
        <w:t>Safety Check</w:t>
      </w:r>
      <w:r w:rsidR="008F2106">
        <w:rPr>
          <w:b/>
        </w:rPr>
        <w:t xml:space="preserve"> - </w:t>
      </w:r>
      <w:r w:rsidRPr="008F2106">
        <w:t>A safety check must be completed to ensure the equipment meets local, regional, and national safety standards and is safe to operate. Examples of standard safety items to check are:</w:t>
      </w:r>
    </w:p>
    <w:p w:rsidR="00550CE1" w:rsidRPr="00E61D56" w:rsidP="00837D3D" w14:paraId="266C4593" w14:textId="4A31B001">
      <w:pPr>
        <w:pStyle w:val="Heading4"/>
        <w:rPr>
          <w:b/>
          <w:bCs/>
          <w:u w:val="single"/>
        </w:rPr>
      </w:pPr>
      <w:r w:rsidRPr="008F2106">
        <w:t>Electrical hazards such as loose cables or frayed wires or exposure to open circuits.</w:t>
      </w:r>
    </w:p>
    <w:p w:rsidR="00550CE1" w:rsidRPr="008F2106" w:rsidP="00837D3D" w14:paraId="22B5DAB7" w14:textId="77777777">
      <w:pPr>
        <w:pStyle w:val="Heading4"/>
        <w:rPr>
          <w:b/>
          <w:bCs/>
          <w:u w:val="single"/>
        </w:rPr>
      </w:pPr>
      <w:r w:rsidRPr="008F2106">
        <w:t>Chemical hazards such as oils and greases could injure the process operators.</w:t>
      </w:r>
    </w:p>
    <w:p w:rsidR="00550CE1" w:rsidRPr="008F2106" w:rsidP="00837D3D" w14:paraId="35946ECE" w14:textId="77777777">
      <w:pPr>
        <w:pStyle w:val="Heading4"/>
        <w:rPr>
          <w:b/>
          <w:bCs/>
          <w:u w:val="single"/>
        </w:rPr>
      </w:pPr>
      <w:r w:rsidRPr="008F2106">
        <w:t>Mechanical hazards such as sharp edges or pinch points.</w:t>
      </w:r>
    </w:p>
    <w:p w:rsidR="00550CE1" w:rsidRPr="008F2106" w:rsidP="00837D3D" w14:paraId="1A6BA3E3" w14:textId="77777777">
      <w:pPr>
        <w:pStyle w:val="Heading4"/>
        <w:rPr>
          <w:b/>
          <w:bCs/>
          <w:u w:val="single"/>
        </w:rPr>
      </w:pPr>
      <w:r w:rsidRPr="008F2106">
        <w:t xml:space="preserve">Thermal hazards such as hot surfaces, etc. </w:t>
      </w:r>
    </w:p>
    <w:p w:rsidR="00550CE1" w:rsidRPr="008F2106" w:rsidP="00837D3D" w14:paraId="2E7B0725" w14:textId="77777777">
      <w:pPr>
        <w:pStyle w:val="Heading4"/>
        <w:rPr>
          <w:b/>
          <w:bCs/>
          <w:u w:val="single"/>
        </w:rPr>
      </w:pPr>
      <w:r w:rsidRPr="008F2106">
        <w:t>Presence and working check of safety features such as emergency off buttons, safety curtains, pressure activated safety mechanisms, interlocks, etc.</w:t>
      </w:r>
    </w:p>
    <w:p w:rsidR="00550CE1" w:rsidRPr="008F2106" w:rsidP="00837D3D" w14:paraId="40CDDB73" w14:textId="77777777">
      <w:pPr>
        <w:pStyle w:val="Heading4"/>
        <w:rPr>
          <w:b/>
          <w:bCs/>
          <w:u w:val="single"/>
        </w:rPr>
      </w:pPr>
      <w:r w:rsidRPr="008F2106">
        <w:t>Protective equipment.</w:t>
      </w:r>
    </w:p>
    <w:p w:rsidR="00550CE1" w:rsidRPr="008F2106" w:rsidP="00837D3D" w14:paraId="3468AFC8" w14:textId="77777777">
      <w:pPr>
        <w:pStyle w:val="Heading4"/>
        <w:rPr>
          <w:b/>
          <w:bCs/>
          <w:u w:val="single"/>
        </w:rPr>
      </w:pPr>
      <w:r w:rsidRPr="008F2106">
        <w:t>Fumes from melting plastics, adhesives, etc.</w:t>
      </w:r>
    </w:p>
    <w:p w:rsidR="00550CE1" w:rsidRPr="008F2106" w:rsidP="00837D3D" w14:paraId="2F2C5FCD" w14:textId="77777777">
      <w:pPr>
        <w:pStyle w:val="Heading4"/>
        <w:rPr>
          <w:b/>
          <w:bCs/>
          <w:u w:val="single"/>
        </w:rPr>
      </w:pPr>
      <w:r w:rsidRPr="008F2106">
        <w:t>A formal safety check list may be used and attached to the IQ report instead of listing individual safety related requirements in the IQ protocol.</w:t>
      </w:r>
    </w:p>
    <w:p w:rsidR="00550CE1" w:rsidRPr="008F2106" w:rsidP="00837D3D" w14:paraId="546414A3" w14:textId="68A73FB2">
      <w:pPr>
        <w:pStyle w:val="Heading3"/>
        <w:rPr>
          <w:b/>
          <w:u w:val="single"/>
        </w:rPr>
      </w:pPr>
      <w:r w:rsidRPr="00D41C72">
        <w:rPr>
          <w:b/>
          <w:bCs/>
        </w:rPr>
        <w:t>Facility and Utilities Requirements</w:t>
      </w:r>
      <w:r w:rsidRPr="008F2106">
        <w:t xml:space="preserve"> (as applicable)</w:t>
      </w:r>
      <w:r w:rsidRPr="008F2106" w:rsidR="00B03039">
        <w:t xml:space="preserve"> -</w:t>
      </w:r>
      <w:r w:rsidRPr="008F2106">
        <w:rPr>
          <w:b/>
        </w:rPr>
        <w:t xml:space="preserve"> </w:t>
      </w:r>
      <w:r w:rsidRPr="008F2106">
        <w:t xml:space="preserve">If the equipment is connected to utilities (e.g., electrical power, pressurized air, water supply, etc.), the applicable supply utilities (voltage, amperage, air pressure, etc.) are verified “as found” to ensure that the equipment is connected appropriately. </w:t>
      </w:r>
    </w:p>
    <w:p w:rsidR="00550CE1" w:rsidRPr="008F2106" w:rsidP="00837D3D" w14:paraId="1E7890E7" w14:textId="77777777">
      <w:pPr>
        <w:pStyle w:val="Heading4"/>
        <w:rPr>
          <w:b/>
          <w:bCs/>
          <w:u w:val="single"/>
        </w:rPr>
      </w:pPr>
      <w:r w:rsidRPr="008F2106">
        <w:t xml:space="preserve">List the required utilities including allowable tolerances (example: 3P380V±10%-50Hz) in the protocol. </w:t>
      </w:r>
    </w:p>
    <w:p w:rsidR="00550CE1" w:rsidRPr="008F2106" w:rsidP="00837D3D" w14:paraId="125B9FAC" w14:textId="2048E7D5">
      <w:pPr>
        <w:pStyle w:val="Heading4"/>
        <w:rPr>
          <w:b/>
          <w:bCs/>
          <w:u w:val="single"/>
        </w:rPr>
      </w:pPr>
      <w:r w:rsidRPr="008F2106">
        <w:t xml:space="preserve">Measure the utilities with appropriate instruments and document instrument name, model number, serial number, operating range, accuracy, calibration date, calibration due date in the IQ report. The instruments used for verification are recorded to provide evidence that the measurements are </w:t>
      </w:r>
      <w:r w:rsidR="00437986">
        <w:t>suited for the specific measurement</w:t>
      </w:r>
      <w:r w:rsidRPr="008F2106">
        <w:t xml:space="preserve">. </w:t>
      </w:r>
    </w:p>
    <w:p w:rsidR="00550CE1" w:rsidRPr="008F2106" w:rsidP="00837D3D" w14:paraId="60095456" w14:textId="77777777">
      <w:pPr>
        <w:pStyle w:val="Heading4"/>
        <w:rPr>
          <w:b/>
          <w:bCs/>
          <w:u w:val="single"/>
        </w:rPr>
      </w:pPr>
      <w:r w:rsidRPr="008F2106">
        <w:t>Leveling, space requirements and other installation conditions must be verified to ensure actual installation conditions meet manufacturer recommendations.</w:t>
      </w:r>
    </w:p>
    <w:p w:rsidR="00550CE1" w:rsidRPr="008F2106" w:rsidP="00837D3D" w14:paraId="60F552B0" w14:textId="531FF88A">
      <w:pPr>
        <w:pStyle w:val="Heading3"/>
        <w:rPr>
          <w:b/>
          <w:u w:val="single"/>
        </w:rPr>
      </w:pPr>
      <w:r w:rsidRPr="00437986">
        <w:rPr>
          <w:b/>
          <w:bCs/>
        </w:rPr>
        <w:t>Calibration</w:t>
      </w:r>
      <w:r w:rsidRPr="008F2106" w:rsidR="006F0511">
        <w:t xml:space="preserve"> -</w:t>
      </w:r>
      <w:r w:rsidRPr="008F2106">
        <w:t xml:space="preserve"> A calibration schedule must be established for each instrument or measurement gauge that is part of the equipment. Each measurement gauge is identified and listed in the IQ protocol. If a gauge is not used to make a quality related decision, the gage does not require calibration but must be labelled with a “No calibration required” label. </w:t>
      </w:r>
    </w:p>
    <w:p w:rsidR="00550CE1" w:rsidRPr="00E35E75" w:rsidP="00837D3D" w14:paraId="3E7215E9" w14:textId="77777777">
      <w:pPr>
        <w:pStyle w:val="Heading4"/>
      </w:pPr>
      <w:r w:rsidRPr="00E35E75">
        <w:t>A requirement for measurement range and accuracy for each instrument/gauge should be provided in the equipment requirements document. For simple equipment the calibration initiation form or equivalent may be used.</w:t>
      </w:r>
    </w:p>
    <w:p w:rsidR="00550CE1" w:rsidRPr="00E35E75" w:rsidP="00837D3D" w14:paraId="39BF5BAB" w14:textId="77777777">
      <w:pPr>
        <w:pStyle w:val="Heading4"/>
        <w:rPr>
          <w:u w:val="single"/>
        </w:rPr>
      </w:pPr>
      <w:r w:rsidRPr="00E35E75">
        <w:t>During IQ execution, the presence of calibration labels is verified, the calibration dates, and next calibration due dates are verified.</w:t>
      </w:r>
    </w:p>
    <w:p w:rsidR="00550CE1" w:rsidRPr="00E35E75" w:rsidP="00837D3D" w14:paraId="7D2C88A8" w14:textId="77777777">
      <w:pPr>
        <w:pStyle w:val="Heading4"/>
        <w:rPr>
          <w:u w:val="single"/>
        </w:rPr>
      </w:pPr>
      <w:r w:rsidRPr="00E35E75">
        <w:t>The presence of controlled calibration instructions is verified.</w:t>
      </w:r>
    </w:p>
    <w:p w:rsidR="00550CE1" w:rsidRPr="00E35E75" w:rsidP="00837D3D" w14:paraId="3083978F" w14:textId="77777777">
      <w:pPr>
        <w:pStyle w:val="Heading4"/>
        <w:rPr>
          <w:u w:val="single"/>
        </w:rPr>
      </w:pPr>
      <w:r w:rsidRPr="00E35E75">
        <w:t>In cases where delicate data gathering devices are used such as thermocouples, post use calibration (after OQ and/or PQ are completed) is recommended.</w:t>
      </w:r>
    </w:p>
    <w:p w:rsidR="00550CE1" w:rsidRPr="00E35E75" w:rsidP="00837D3D" w14:paraId="435A0C9C" w14:textId="77777777">
      <w:pPr>
        <w:pStyle w:val="Heading4"/>
        <w:rPr>
          <w:u w:val="single"/>
        </w:rPr>
      </w:pPr>
      <w:r w:rsidRPr="00E35E75">
        <w:t>Calibration records should be checked to ensure that all requirements were met during calibration. Calibration records may be attached to the IQ report.</w:t>
      </w:r>
    </w:p>
    <w:p w:rsidR="00550CE1" w:rsidRPr="008F2106" w:rsidP="00837D3D" w14:paraId="70A29755" w14:textId="1553C972">
      <w:pPr>
        <w:pStyle w:val="Heading3"/>
        <w:rPr>
          <w:b/>
          <w:u w:val="single"/>
        </w:rPr>
      </w:pPr>
      <w:bookmarkStart w:id="27" w:name="_Hlk165971426"/>
      <w:r w:rsidRPr="003046E2">
        <w:rPr>
          <w:b/>
          <w:bCs/>
        </w:rPr>
        <w:t>Preventive Maintenance (PM), Corrective Maintenance, Adjustment and Cleaning</w:t>
      </w:r>
      <w:r w:rsidRPr="008F2106" w:rsidR="00CE207E">
        <w:t xml:space="preserve"> -</w:t>
      </w:r>
      <w:r w:rsidRPr="008F2106">
        <w:rPr>
          <w:b/>
        </w:rPr>
        <w:t xml:space="preserve"> </w:t>
      </w:r>
      <w:bookmarkEnd w:id="27"/>
      <w:r w:rsidRPr="008F2106">
        <w:t xml:space="preserve">Schedules must be established for preventive maintenance, periodic adjustments, and cleaning as applicable. During IQ protocol execution, </w:t>
      </w:r>
      <w:r w:rsidR="00A84E67">
        <w:t>the</w:t>
      </w:r>
      <w:r w:rsidRPr="008F2106">
        <w:t xml:space="preserve"> PM schedules </w:t>
      </w:r>
      <w:r w:rsidR="00A84E67">
        <w:t>are</w:t>
      </w:r>
      <w:r w:rsidRPr="008F2106">
        <w:t xml:space="preserve"> verified. Not every equipment needs preventive maintenance, adjustment, or cleaning. For example, digital calipers or multimeters are not expected to require a preventive maintenance schedule if the equipment is checked as part of routine calibration. Review the cleaning agents and lubricants used by or on equipment to ensure they are acceptable for use within the facility and for the product that may contact the equipment.</w:t>
      </w:r>
    </w:p>
    <w:p w:rsidR="00550CE1" w:rsidRPr="008F2106" w:rsidP="00837D3D" w14:paraId="28948FD7" w14:textId="77777777">
      <w:pPr>
        <w:pStyle w:val="Heading4"/>
      </w:pPr>
      <w:r w:rsidRPr="008F2106">
        <w:t>A requirement for PM frequency is provided in the equipment requirements document and verified during IQ.</w:t>
      </w:r>
    </w:p>
    <w:p w:rsidR="00550CE1" w:rsidRPr="008F2106" w:rsidP="00837D3D" w14:paraId="665EFD99" w14:textId="77777777">
      <w:pPr>
        <w:pStyle w:val="Heading4"/>
      </w:pPr>
      <w:r w:rsidRPr="008F2106">
        <w:t>The presence of controlled PM work instructions is verified during IQ execution.</w:t>
      </w:r>
    </w:p>
    <w:p w:rsidR="00550CE1" w:rsidRPr="008F2106" w:rsidP="00837D3D" w14:paraId="6533D642" w14:textId="77777777">
      <w:pPr>
        <w:pStyle w:val="Heading4"/>
      </w:pPr>
      <w:r w:rsidRPr="008F2106">
        <w:t>Requalification requirements after preventive and corrective maintenance are included in the IQ protocol or report. Most preventive maintenance activities do not require requalification and can be managed via the preventive maintenance process.</w:t>
      </w:r>
    </w:p>
    <w:p w:rsidR="00550CE1" w:rsidRPr="008F2106" w:rsidP="00837D3D" w14:paraId="10AF8F9A" w14:textId="77777777">
      <w:pPr>
        <w:pStyle w:val="Heading4"/>
      </w:pPr>
      <w:r w:rsidRPr="008F2106">
        <w:t>The equipment must be labelled with a PM indicator/label for traceability. It is required for process operators to confirm before each commercial manufacturing run that the equipment is current on PM. The presence of the label with initial PM due date is verified during IQ execution.</w:t>
      </w:r>
    </w:p>
    <w:p w:rsidR="00550CE1" w:rsidRPr="008F2106" w:rsidP="00837D3D" w14:paraId="3A24B075" w14:textId="77777777">
      <w:pPr>
        <w:pStyle w:val="Heading4"/>
      </w:pPr>
      <w:r w:rsidRPr="008F2106">
        <w:t>As applicable, the presence of a spare parts list is verified.</w:t>
      </w:r>
    </w:p>
    <w:p w:rsidR="00550CE1" w:rsidRPr="008F2106" w:rsidP="00837D3D" w14:paraId="2C92441C" w14:textId="47C9C992">
      <w:pPr>
        <w:pStyle w:val="Heading3"/>
      </w:pPr>
      <w:r w:rsidRPr="007621EE">
        <w:rPr>
          <w:b/>
          <w:bCs/>
        </w:rPr>
        <w:t>Software and Firmware</w:t>
      </w:r>
      <w:r w:rsidRPr="008F2106">
        <w:rPr>
          <w:b/>
        </w:rPr>
        <w:t xml:space="preserve"> </w:t>
      </w:r>
      <w:r w:rsidRPr="008F2106" w:rsidR="009D0BF9">
        <w:rPr>
          <w:b/>
        </w:rPr>
        <w:t xml:space="preserve">- </w:t>
      </w:r>
      <w:r w:rsidRPr="008F2106">
        <w:t>Determine the type of software or firmware that is used with the equipment and execute the IQ accordingly. There are three basic types of software categories for manufacturing and testing.</w:t>
      </w:r>
    </w:p>
    <w:p w:rsidR="00550CE1" w:rsidRPr="008F2106" w:rsidP="00837D3D" w14:paraId="024BA437" w14:textId="2FF6A9AE">
      <w:pPr>
        <w:pStyle w:val="Heading4"/>
      </w:pPr>
      <w:r>
        <w:t>E</w:t>
      </w:r>
      <w:r w:rsidRPr="008F2106">
        <w:t xml:space="preserve">quipment with software that is not obvious or accessible. This is called Firmware. Firmware provides low level control for the hardware. For example, time and temperature adjustments on an annealing oven may be computer controlled. </w:t>
      </w:r>
    </w:p>
    <w:p w:rsidR="00550CE1" w:rsidRPr="008F2106" w:rsidP="00837D3D" w14:paraId="2AE794BE" w14:textId="77777777">
      <w:pPr>
        <w:pStyle w:val="Heading4"/>
      </w:pPr>
      <w:r w:rsidRPr="008F2106">
        <w:t>Document the Firmware version</w:t>
      </w:r>
      <w:r w:rsidRPr="008F2106">
        <w:rPr>
          <w:b/>
          <w:bCs/>
        </w:rPr>
        <w:t xml:space="preserve"> </w:t>
      </w:r>
      <w:r w:rsidRPr="008F2106">
        <w:t>in the protocol and verify during IQ execution. Proper functioning of firmware is documented in the equipment requirements verification. When OQ and PQ are executed, the firmware is validated by default for intended use.</w:t>
      </w:r>
    </w:p>
    <w:p w:rsidR="00550CE1" w:rsidRPr="008F2106" w:rsidP="00837D3D" w14:paraId="114210CC" w14:textId="77777777">
      <w:pPr>
        <w:pStyle w:val="Heading4"/>
      </w:pPr>
      <w:r w:rsidRPr="008F2106">
        <w:t>Primarily for off-the-shelf equipment, computers/controllers are built into the equipment by the supplier. Process operators and engineers select assorted options from the menu, enter a variety of parameters, print reports, enter passwords for accessibility as applicable, and control the process by means of limited data entry. This type of software is called embedded software. The embedded software can be configurable or non-configurable. The software is under the control and ownership of the equipment manufacturer; therefore, the software code is not known to the device manufacturer, nor does it require software validation.</w:t>
      </w:r>
    </w:p>
    <w:p w:rsidR="00550CE1" w:rsidRPr="008F2106" w:rsidP="00837D3D" w14:paraId="2E8B2F70" w14:textId="77777777">
      <w:pPr>
        <w:pStyle w:val="Heading4"/>
      </w:pPr>
      <w:r w:rsidRPr="008F2106">
        <w:t xml:space="preserve">Embedded software is verified by black box testing as part of functional equipment testing. Black box testing is a software testing methodology where the tester analyzes the functionality of an application without having knowledge of its internal structure or implementation details. The tester treats the software as a "black box" and focuses solely on the inputs and expected outputs, without considering how </w:t>
      </w:r>
      <w:r w:rsidRPr="008F2106">
        <w:t xml:space="preserve">the system works internally. The entire functionality of the embedded software is verified during IQ. This should for instance include a challenge of password access. </w:t>
      </w:r>
    </w:p>
    <w:p w:rsidR="00550CE1" w:rsidRPr="008F2106" w:rsidP="00837D3D" w14:paraId="2CA7A08C" w14:textId="77777777">
      <w:pPr>
        <w:pStyle w:val="Heading4"/>
      </w:pPr>
      <w:r w:rsidRPr="008F2106">
        <w:t>Black box testing includes a normal startup and shut down procedure, and an emergency shut down to verify that the controller retains programmed information including recipes.</w:t>
      </w:r>
    </w:p>
    <w:p w:rsidR="00550CE1" w:rsidRPr="008F2106" w:rsidP="00837D3D" w14:paraId="2C3BED7C" w14:textId="77777777">
      <w:pPr>
        <w:pStyle w:val="Heading4"/>
      </w:pPr>
      <w:r w:rsidRPr="008F2106">
        <w:t>Configurable, embedded software requires an installation qualification to verify that the correct configuration is installed.</w:t>
      </w:r>
    </w:p>
    <w:p w:rsidR="00550CE1" w:rsidRPr="009140AC" w:rsidP="00837D3D" w14:paraId="12128677" w14:textId="77777777">
      <w:pPr>
        <w:pStyle w:val="Heading4"/>
      </w:pPr>
      <w:r w:rsidRPr="00067955">
        <w:rPr>
          <w:b/>
          <w:bCs/>
        </w:rPr>
        <w:t>Custom software</w:t>
      </w:r>
      <w:r w:rsidRPr="009140AC">
        <w:t xml:space="preserve"> is validated independently from the IQ. This applies primarily to software which resides on a stand-alone computer that controls a piece of equipment using an electronic interface. Software validation is not covered in this guideline. Custom software validation is typically executed before IQ commences, and completion of custom software validation is verified as part of the IQ protocol execution.</w:t>
      </w:r>
    </w:p>
    <w:p w:rsidR="00550CE1" w:rsidRPr="008F2106" w:rsidP="00837D3D" w14:paraId="6BBD4397" w14:textId="77777777">
      <w:pPr>
        <w:pStyle w:val="Heading4"/>
        <w:rPr>
          <w:b/>
          <w:bCs/>
        </w:rPr>
      </w:pPr>
      <w:r w:rsidRPr="008F2106">
        <w:t>If the equipment collects and stores quality data, or if the equipment ‘makes quality decisions,’ or if the equipment stores electronic signatures, 21 CFR Part 11 applies. Additional requirements must be met. Note: Equipment may be equipped with data collection and storage, but the device manufacturer decides to not use the capability but instead to print out data and approve and store the information outside of the equipment. In this case, the IQ verification does not need to include the 21 CFR Part 11 requirements.</w:t>
      </w:r>
    </w:p>
    <w:p w:rsidR="00550CE1" w:rsidRPr="008F2106" w:rsidP="00837D3D" w14:paraId="56D6F92E" w14:textId="77777777">
      <w:pPr>
        <w:pStyle w:val="Heading4"/>
        <w:rPr>
          <w:b/>
          <w:bCs/>
        </w:rPr>
      </w:pPr>
      <w:r w:rsidRPr="008F2106">
        <w:t>Software updates require requalification.</w:t>
      </w:r>
    </w:p>
    <w:p w:rsidR="00550CE1" w:rsidRPr="008F2106" w:rsidP="00837D3D" w14:paraId="10224756" w14:textId="77777777">
      <w:pPr>
        <w:pStyle w:val="Heading4"/>
        <w:rPr>
          <w:b/>
        </w:rPr>
      </w:pPr>
      <w:r w:rsidRPr="008F2106">
        <w:rPr>
          <w:bCs/>
        </w:rPr>
        <w:t>Summary</w:t>
      </w:r>
      <w:r w:rsidRPr="008F2106">
        <w:t xml:space="preserve"> of activities for PLC/</w:t>
      </w:r>
      <w:r w:rsidRPr="008F2106">
        <w:t>COTS</w:t>
      </w:r>
      <w:r w:rsidRPr="008F2106">
        <w:t xml:space="preserve"> software during IQ:</w:t>
      </w:r>
    </w:p>
    <w:p w:rsidR="00550CE1" w:rsidRPr="00B2648A" w:rsidP="00BE158E" w14:paraId="0E1757C1" w14:textId="77777777">
      <w:pPr>
        <w:pStyle w:val="Normal5Indent"/>
        <w:numPr>
          <w:ilvl w:val="0"/>
          <w:numId w:val="13"/>
        </w:numPr>
        <w:ind w:left="1944"/>
      </w:pPr>
      <w:r w:rsidRPr="00B2648A">
        <w:t>Hardware verification</w:t>
      </w:r>
    </w:p>
    <w:p w:rsidR="00550CE1" w:rsidRPr="00B2648A" w:rsidP="00837D3D" w14:paraId="308E52B8" w14:textId="77777777">
      <w:pPr>
        <w:pStyle w:val="Normal5Indent"/>
      </w:pPr>
      <w:r w:rsidRPr="00B2648A">
        <w:t>Software backup verification</w:t>
      </w:r>
    </w:p>
    <w:p w:rsidR="00550CE1" w:rsidRPr="00B2648A" w:rsidP="00837D3D" w14:paraId="5F081AE2" w14:textId="77777777">
      <w:pPr>
        <w:pStyle w:val="Normal5Indent"/>
      </w:pPr>
      <w:r w:rsidRPr="00B2648A">
        <w:t>Input/output verification</w:t>
      </w:r>
    </w:p>
    <w:p w:rsidR="00550CE1" w:rsidRPr="00B2648A" w:rsidP="00837D3D" w14:paraId="54FC393A" w14:textId="77777777">
      <w:pPr>
        <w:pStyle w:val="Normal5Indent"/>
      </w:pPr>
      <w:r w:rsidRPr="00B2648A">
        <w:t>Verification of alarms, interlocks, and safety functions</w:t>
      </w:r>
    </w:p>
    <w:p w:rsidR="00550CE1" w:rsidRPr="00B2648A" w:rsidP="00837D3D" w14:paraId="6B2C39D6" w14:textId="77777777">
      <w:pPr>
        <w:pStyle w:val="Normal5Indent"/>
      </w:pPr>
      <w:r w:rsidRPr="00B2648A">
        <w:t>Utility loss and recovery verification</w:t>
      </w:r>
    </w:p>
    <w:p w:rsidR="00550CE1" w:rsidRPr="00B2648A" w:rsidP="00837D3D" w14:paraId="1AB3C9CB" w14:textId="77777777">
      <w:pPr>
        <w:pStyle w:val="Normal5Indent"/>
      </w:pPr>
      <w:r w:rsidRPr="00B2648A">
        <w:t>Access security verification</w:t>
      </w:r>
    </w:p>
    <w:p w:rsidR="00550CE1" w:rsidRPr="00B2648A" w:rsidP="00837D3D" w14:paraId="7E513EBE" w14:textId="77777777">
      <w:pPr>
        <w:pStyle w:val="Normal5Indent"/>
      </w:pPr>
      <w:r w:rsidRPr="00B2648A">
        <w:t>Verification of screen/menu navigation</w:t>
      </w:r>
    </w:p>
    <w:p w:rsidR="00550CE1" w:rsidRPr="00B2648A" w:rsidP="00837D3D" w14:paraId="0DE1029A" w14:textId="77777777">
      <w:pPr>
        <w:pStyle w:val="Normal5Indent"/>
      </w:pPr>
      <w:r w:rsidRPr="00B2648A">
        <w:t>Verification of operator functional interface</w:t>
      </w:r>
    </w:p>
    <w:p w:rsidR="00550CE1" w:rsidRPr="00B2648A" w:rsidP="00837D3D" w14:paraId="0C2D7FED" w14:textId="77777777">
      <w:pPr>
        <w:pStyle w:val="Normal5Indent"/>
      </w:pPr>
      <w:r w:rsidRPr="00B2648A">
        <w:t>Verification of operations sequence</w:t>
      </w:r>
    </w:p>
    <w:p w:rsidR="00550CE1" w:rsidRPr="006940D3" w:rsidP="00837D3D" w14:paraId="4891607E" w14:textId="77777777">
      <w:pPr>
        <w:pStyle w:val="Heading3"/>
      </w:pPr>
      <w:r w:rsidRPr="006940D3">
        <w:t>Environmental Conditions and Accessibility</w:t>
      </w:r>
    </w:p>
    <w:p w:rsidR="00550CE1" w:rsidRPr="008F2106" w:rsidP="00837D3D" w14:paraId="0C2FA0DC" w14:textId="77777777">
      <w:pPr>
        <w:pStyle w:val="Heading4"/>
        <w:rPr>
          <w:b/>
          <w:bCs/>
        </w:rPr>
      </w:pPr>
      <w:r w:rsidRPr="008F2106">
        <w:t>Equipment accessibility for maintenance and operations is verified during IQ. For example, there must be enough space around the equipment to prevent damage to the product during manufacturing. Equipment must be accessible for cleaning and maintenance. Suitability is typically confirmed via visual inspection of the equipment surroundings.</w:t>
      </w:r>
    </w:p>
    <w:p w:rsidR="00550CE1" w:rsidRPr="008F2106" w:rsidP="00837D3D" w14:paraId="1A3ADEA8" w14:textId="77777777">
      <w:pPr>
        <w:pStyle w:val="Heading4"/>
        <w:rPr>
          <w:b/>
          <w:bCs/>
        </w:rPr>
      </w:pPr>
      <w:r w:rsidRPr="008F2106">
        <w:t xml:space="preserve">Support systems must be sufficient to create an environment which does not adversely impact the product during manufacturing. Ambient temperature and relative humidity in the manufacturing area should be controlled to a range suitable for all equipment and materials. The temperature and relative humidity are verified </w:t>
      </w:r>
      <w:r w:rsidRPr="008F2106">
        <w:t>during IQ to provide objective evidence that the environment is suitable for the equipment.</w:t>
      </w:r>
    </w:p>
    <w:p w:rsidR="00550CE1" w:rsidRPr="008F2106" w:rsidP="00837D3D" w14:paraId="5F7C987D" w14:textId="77777777">
      <w:pPr>
        <w:pStyle w:val="Heading4"/>
        <w:rPr>
          <w:b/>
          <w:bCs/>
        </w:rPr>
      </w:pPr>
      <w:r w:rsidRPr="008F2106">
        <w:t>The equipment is examined to ensure it is suitable for the manufacturing environment. For instance, when a classified cleanroom is used for manufacturing, cleanroom conditions (e.g., number of allowed particulates) are measured before and after the equipment is moved into the cleanroom to confirm that the minimum cleanliness requirements are still met after the new equipment is moved into the cleanroom.</w:t>
      </w:r>
    </w:p>
    <w:p w:rsidR="00550CE1" w:rsidRPr="008F2106" w:rsidP="00837D3D" w14:paraId="49F2DBDC" w14:textId="77777777">
      <w:pPr>
        <w:pStyle w:val="Heading4"/>
        <w:rPr>
          <w:b/>
        </w:rPr>
      </w:pPr>
      <w:r w:rsidRPr="008F2106">
        <w:t>A list of materials (oils, lubricants, etc.) should be established that are needed to maintain the equipment. Verify during IQ execution that all lubricants are approved for use in the manufacturing environment. Evaluate the parts of the equipment which directly contact the product and verify that the contact will not adversely impact the product.</w:t>
      </w:r>
    </w:p>
    <w:p w:rsidR="00F9076A" w:rsidRPr="005D6E81" w:rsidP="00A61F37" w14:paraId="4258AA26" w14:textId="3F59C342">
      <w:pPr>
        <w:pStyle w:val="Heading1"/>
      </w:pPr>
      <w:bookmarkStart w:id="28" w:name="_Toc165541804"/>
      <w:bookmarkStart w:id="29" w:name="_Toc166687338"/>
      <w:bookmarkStart w:id="30" w:name="_Toc188651134"/>
      <w:bookmarkStart w:id="31" w:name="_Toc256000019"/>
      <w:r w:rsidRPr="005D6E81">
        <w:t>Operational Qualification</w:t>
      </w:r>
      <w:bookmarkEnd w:id="28"/>
      <w:r>
        <w:t xml:space="preserve"> (OQ)</w:t>
      </w:r>
      <w:bookmarkEnd w:id="31"/>
      <w:bookmarkEnd w:id="29"/>
      <w:bookmarkEnd w:id="30"/>
    </w:p>
    <w:p w:rsidR="00F9076A" w:rsidRPr="005D6E81" w:rsidP="00F9076A" w14:paraId="5E8456EF" w14:textId="77777777">
      <w:r w:rsidRPr="005D6E81">
        <w:t>According to the GHTF guidance</w:t>
      </w:r>
      <w:r>
        <w:t xml:space="preserve"> [Ref-1]</w:t>
      </w:r>
      <w:r w:rsidRPr="005D6E81">
        <w:t>, OQ is defined as establishing by objective evidence process control limits and action levels which result in product that meets all predetermined requirements</w:t>
      </w:r>
      <w:r>
        <w:t xml:space="preserve"> (i.e. worst-case)</w:t>
      </w:r>
      <w:r w:rsidRPr="005D6E81">
        <w:t xml:space="preserve">. </w:t>
      </w:r>
      <w:r>
        <w:t>The MDSAP audit approach [Ref-3] states that process tolerance limits are to be challenged.</w:t>
      </w:r>
    </w:p>
    <w:p w:rsidR="00F9076A" w:rsidP="00F9076A" w14:paraId="1607F494" w14:textId="77777777"/>
    <w:p w:rsidR="00F9076A" w:rsidP="00F9076A" w14:paraId="4A3E9EDE" w14:textId="77777777">
      <w:r>
        <w:t xml:space="preserve">The OQ study confirms that the process can produce products meeting its predetermined requirements when the process runs at its worst-case condition. </w:t>
      </w:r>
      <w:r w:rsidRPr="000853FA">
        <w:rPr>
          <w:rFonts w:cstheme="minorHAnsi"/>
        </w:rPr>
        <w:t>Worst-case conditions are the settings for process inputs</w:t>
      </w:r>
      <w:r>
        <w:rPr>
          <w:rFonts w:cstheme="minorHAnsi"/>
        </w:rPr>
        <w:t xml:space="preserve"> </w:t>
      </w:r>
      <w:r w:rsidRPr="000853FA">
        <w:rPr>
          <w:rFonts w:cstheme="minorHAnsi"/>
        </w:rPr>
        <w:t xml:space="preserve">that cause the worst-case performance for the process outputs. </w:t>
      </w:r>
      <w:r>
        <w:rPr>
          <w:rFonts w:cstheme="minorHAnsi"/>
        </w:rPr>
        <w:t>An example of a worst-case condition for sterile package sealing is the low limit for seal temperature and the low limit for dwell time as this is a condition that is closest to not sealing the pouch at all.</w:t>
      </w:r>
    </w:p>
    <w:p w:rsidR="00F9076A" w:rsidP="00F9076A" w14:paraId="5F6180F7" w14:textId="77777777"/>
    <w:p w:rsidR="00F9076A" w:rsidP="00F9076A" w14:paraId="3A9D6729" w14:textId="77777777">
      <w:r>
        <w:t>Process characterization as a typical pre-cursor activity to the OQ study. Tools such as Design of Experiments are highly suitable for process characterization. The goal is to identify the critical process parameters (CPPs) and to study how they influence and interact with Critical Quality Attributes (CQAs) so they can be monitored and controlled during commercial manufacturing. A process parameter is critical if the experiment identifies it as statistically significant and if the influence on the CQA is also practically significant. Once the critical process parameters</w:t>
      </w:r>
      <w:r>
        <w:t xml:space="preserve"> </w:t>
      </w:r>
      <w:r>
        <w:t>are known, operating ranges and control limits are determined. Process parameters that are not significant do not require continuous monitoring during commercial manufacturing if they are operated at the same setting as in the experiments that identified them as insignificant.</w:t>
      </w:r>
    </w:p>
    <w:p w:rsidR="00F9076A" w:rsidP="00F9076A" w14:paraId="438B6B28" w14:textId="77777777"/>
    <w:p w:rsidR="00F9076A" w:rsidP="00F9076A" w14:paraId="569AC083" w14:textId="77777777">
      <w:r>
        <w:t>During commercial manufacturing, the critical process parameters must remain within their qualified operating ranges. The device manufacturer is not allowed to manufacture Philips products outside of the qualified operating windows without Philips approved revalidation. It is good practice to set action levels for critical process parameters to alert the process operator before the parameter drifts outside the qualified window. See figure 7 for an illustration of an action level.</w:t>
      </w:r>
    </w:p>
    <w:p w:rsidR="00F9076A" w:rsidP="00F9076A" w14:paraId="09D83969" w14:textId="77777777"/>
    <w:p w:rsidR="00F9076A" w:rsidP="00F9076A" w14:paraId="471F2020" w14:textId="77777777">
      <w:pPr>
        <w:ind w:left="-72"/>
      </w:pPr>
      <w:r>
        <w:rPr>
          <w:noProof/>
        </w:rPr>
        <w:drawing>
          <wp:inline distT="0" distB="0" distL="0" distR="0">
            <wp:extent cx="5868670" cy="2281555"/>
            <wp:effectExtent l="0" t="0" r="0" b="4445"/>
            <wp:docPr id="310191711"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91711" name="Picture 1" descr="A diagram of a process&#10;&#10;Description automatically generated"/>
                    <pic:cNvPicPr/>
                  </pic:nvPicPr>
                  <pic:blipFill>
                    <a:blip xmlns:r="http://schemas.openxmlformats.org/officeDocument/2006/relationships" r:embed="rId16"/>
                    <a:stretch>
                      <a:fillRect/>
                    </a:stretch>
                  </pic:blipFill>
                  <pic:spPr>
                    <a:xfrm>
                      <a:off x="0" y="0"/>
                      <a:ext cx="5868670" cy="2281555"/>
                    </a:xfrm>
                    <a:prstGeom prst="rect">
                      <a:avLst/>
                    </a:prstGeom>
                  </pic:spPr>
                </pic:pic>
              </a:graphicData>
            </a:graphic>
          </wp:inline>
        </w:drawing>
      </w:r>
    </w:p>
    <w:p w:rsidR="00F9076A" w:rsidP="00F9076A" w14:paraId="10204132" w14:textId="77777777">
      <w:r>
        <w:t>Figure 5. Typical Process Characterization and OQ activities</w:t>
      </w:r>
    </w:p>
    <w:p w:rsidR="00F9076A" w:rsidP="00F9076A" w14:paraId="4071DF46" w14:textId="77777777"/>
    <w:p w:rsidR="00F9076A" w:rsidP="00F9076A" w14:paraId="6B8F5E8A" w14:textId="77777777">
      <w:r>
        <w:t>Measurement methods used for process characterization and OQ must be validated.</w:t>
      </w:r>
    </w:p>
    <w:p w:rsidR="00F9076A" w:rsidP="00F9076A" w14:paraId="762AB35D" w14:textId="77777777"/>
    <w:p w:rsidR="00F9076A" w:rsidP="00F9076A" w14:paraId="5F2FF1E4" w14:textId="103D08B4">
      <w:r>
        <w:t>Process characterization may not be required if</w:t>
      </w:r>
      <w:r>
        <w:t xml:space="preserve"> </w:t>
      </w:r>
      <w:r>
        <w:t>sufficient historical process knowledge is available, if the historic process has been proven to be in control, if the equipment qualification is documented in a validation report, and if measurements were executed with validated test methods.</w:t>
      </w:r>
    </w:p>
    <w:p w:rsidR="00F9076A" w:rsidP="00F9076A" w14:paraId="4D5FA273" w14:textId="77777777"/>
    <w:p w:rsidR="00F9076A" w:rsidP="00F9076A" w14:paraId="68E801D2" w14:textId="47792799">
      <w:r>
        <w:t>OQ may not be required for manual processes or for a process with one fixed parameter which cannot or will not be adjusted during commercial manufacturing</w:t>
      </w:r>
      <w:r w:rsidR="00063524">
        <w:t xml:space="preserve"> since</w:t>
      </w:r>
      <w:r>
        <w:t xml:space="preserve"> </w:t>
      </w:r>
      <w:r w:rsidR="00063524">
        <w:t>t</w:t>
      </w:r>
      <w:r>
        <w:t>he inherent process variation will be challenged during PQ.</w:t>
      </w:r>
    </w:p>
    <w:p w:rsidR="00F9076A" w:rsidP="00EE1EA6" w14:paraId="279AD2A5" w14:textId="0317F4AE">
      <w:pPr>
        <w:pStyle w:val="Heading2"/>
      </w:pPr>
      <w:bookmarkStart w:id="32" w:name="_Toc166687339"/>
      <w:bookmarkStart w:id="33" w:name="_Toc188651135"/>
      <w:bookmarkStart w:id="34" w:name="_Toc256000020"/>
      <w:r>
        <w:t>Equipment Suitability</w:t>
      </w:r>
      <w:bookmarkEnd w:id="34"/>
      <w:bookmarkEnd w:id="32"/>
      <w:bookmarkEnd w:id="33"/>
    </w:p>
    <w:p w:rsidR="00F9076A" w:rsidRPr="00225021" w:rsidP="00063524" w14:paraId="798FD95B" w14:textId="77777777">
      <w:r w:rsidRPr="00225021">
        <w:t xml:space="preserve">All equipment needed for the process is assessed to ensure it is suitable. For example, the IQ report of an annealing oven is checked to ensure that the equipment has been qualified for the </w:t>
      </w:r>
      <w:r>
        <w:t>required</w:t>
      </w:r>
      <w:r w:rsidRPr="00225021">
        <w:t xml:space="preserve"> temperature range and temperature accuracy.</w:t>
      </w:r>
    </w:p>
    <w:p w:rsidR="00F9076A" w:rsidP="00EE1EA6" w14:paraId="1E927AF6" w14:textId="41CA2DD2">
      <w:pPr>
        <w:pStyle w:val="Heading2"/>
      </w:pPr>
      <w:bookmarkStart w:id="35" w:name="_Toc188651136"/>
      <w:bookmarkStart w:id="36" w:name="_Toc256000021"/>
      <w:r>
        <w:t>Number of required OQ runs</w:t>
      </w:r>
      <w:bookmarkEnd w:id="36"/>
      <w:bookmarkEnd w:id="35"/>
    </w:p>
    <w:p w:rsidR="00F9076A" w:rsidP="00292A30" w14:paraId="7483EF6E" w14:textId="77777777">
      <w:r>
        <w:t>The number of OQ runs must correspond to the number of worst-case conditions identified. Typically, one run per worst-case condition is sufficient. It is common to identify at least two worst-case conditions. More worst-case conditions are possible if there is more than one critical quality attribute since each critical quality attribute could have its own set of worst-case conditions.</w:t>
      </w:r>
    </w:p>
    <w:p w:rsidR="00F9076A" w:rsidP="00EE1EA6" w14:paraId="0485346B" w14:textId="426BC62D">
      <w:pPr>
        <w:pStyle w:val="Heading2"/>
      </w:pPr>
      <w:bookmarkStart w:id="37" w:name="_Toc188651137"/>
      <w:bookmarkStart w:id="38" w:name="_Toc256000022"/>
      <w:r>
        <w:t>Number of manufactured samples</w:t>
      </w:r>
      <w:bookmarkEnd w:id="38"/>
      <w:bookmarkEnd w:id="37"/>
    </w:p>
    <w:p w:rsidR="00F9076A" w:rsidP="00A545B6" w14:paraId="05389E41" w14:textId="77777777">
      <w:bookmarkStart w:id="39" w:name="_Toc166687340"/>
      <w:r>
        <w:t>OQ runs must be long enough to allow the process to demonstrate its normal, common cause process variation beyond any ramp-up effects expected at start-up. The rationale for OQ run duration and the number of samples must be provided in the protocol.</w:t>
      </w:r>
    </w:p>
    <w:p w:rsidR="00F9076A" w:rsidP="00A545B6" w14:paraId="681BCB9F" w14:textId="77777777"/>
    <w:p w:rsidR="00F9076A" w:rsidP="00A545B6" w14:paraId="0D5F92D1" w14:textId="77777777">
      <w:r>
        <w:t>Product produced during the OQ may not be made available for commercial distribution since the process is being stressed and operated under worst-case conditions which are atypical for production.</w:t>
      </w:r>
    </w:p>
    <w:p w:rsidR="00F9076A" w:rsidP="00EE1EA6" w14:paraId="26901FAA" w14:textId="646E2F24">
      <w:pPr>
        <w:pStyle w:val="Heading2"/>
      </w:pPr>
      <w:bookmarkStart w:id="40" w:name="_Toc188651138"/>
      <w:bookmarkStart w:id="41" w:name="_Toc256000023"/>
      <w:r>
        <w:t>Process Characterization</w:t>
      </w:r>
      <w:bookmarkEnd w:id="41"/>
      <w:bookmarkEnd w:id="39"/>
      <w:bookmarkEnd w:id="40"/>
    </w:p>
    <w:p w:rsidR="00F9076A" w:rsidP="001352EB" w14:paraId="021B7808" w14:textId="77777777">
      <w:r>
        <w:t>21 CFR 820.70(a) states that each manufacturer shall develop, conduct, control, and monitor production processes to ensure that a device conforms to its specifications.</w:t>
      </w:r>
    </w:p>
    <w:p w:rsidR="00F9076A" w:rsidP="00F9076A" w14:paraId="72D87204" w14:textId="77777777">
      <w:pPr>
        <w:ind w:left="360"/>
      </w:pPr>
    </w:p>
    <w:p w:rsidR="00F9076A" w:rsidP="001352EB" w14:paraId="749AFC9D" w14:textId="77777777">
      <w:r>
        <w:t>A</w:t>
      </w:r>
      <w:r w:rsidRPr="00527745">
        <w:t xml:space="preserve"> successful validation program depends upon information and knowledge from product and process development. This knowledge and understanding are the basis for establishing an approach to control</w:t>
      </w:r>
      <w:r>
        <w:t>ling</w:t>
      </w:r>
      <w:r w:rsidRPr="00527745">
        <w:t xml:space="preserve"> the manufacturing process that results in products</w:t>
      </w:r>
      <w:r>
        <w:t xml:space="preserve"> that meet all requirements.</w:t>
      </w:r>
    </w:p>
    <w:p w:rsidR="002576CE" w:rsidRPr="00527745" w:rsidP="001352EB" w14:paraId="1F3ADFDA" w14:textId="77777777"/>
    <w:p w:rsidR="00F9076A" w:rsidRPr="00527745" w:rsidP="002576CE" w14:paraId="78D9F8DC" w14:textId="77777777">
      <w:r w:rsidRPr="00527745">
        <w:t>Manufacturers should:</w:t>
      </w:r>
    </w:p>
    <w:p w:rsidR="00F9076A" w:rsidRPr="00527745" w:rsidP="00853B2E" w14:paraId="5D2D0A6E" w14:textId="77777777">
      <w:pPr>
        <w:pStyle w:val="ListParagraph"/>
        <w:numPr>
          <w:ilvl w:val="0"/>
          <w:numId w:val="14"/>
        </w:numPr>
      </w:pPr>
      <w:r w:rsidRPr="00527745">
        <w:t>Understand the sources of variation.</w:t>
      </w:r>
    </w:p>
    <w:p w:rsidR="00F9076A" w:rsidRPr="00527745" w:rsidP="00853B2E" w14:paraId="23F5F734" w14:textId="77777777">
      <w:pPr>
        <w:pStyle w:val="ListParagraph"/>
        <w:numPr>
          <w:ilvl w:val="0"/>
          <w:numId w:val="14"/>
        </w:numPr>
      </w:pPr>
      <w:r w:rsidRPr="00527745">
        <w:t>Detect the presence and degree of variation.</w:t>
      </w:r>
    </w:p>
    <w:p w:rsidR="00F9076A" w:rsidRPr="00527745" w:rsidP="00853B2E" w14:paraId="2E19462E" w14:textId="77777777">
      <w:pPr>
        <w:pStyle w:val="ListParagraph"/>
        <w:numPr>
          <w:ilvl w:val="0"/>
          <w:numId w:val="14"/>
        </w:numPr>
      </w:pPr>
      <w:r w:rsidRPr="00527745">
        <w:t>Understand the impact of variation on the process and on product attributes.</w:t>
      </w:r>
    </w:p>
    <w:p w:rsidR="00F9076A" w:rsidP="00853B2E" w14:paraId="1AA626B5" w14:textId="77777777">
      <w:pPr>
        <w:pStyle w:val="ListParagraph"/>
        <w:numPr>
          <w:ilvl w:val="0"/>
          <w:numId w:val="14"/>
        </w:numPr>
      </w:pPr>
      <w:r w:rsidRPr="00527745">
        <w:t>Control the variation in a manner commensurate with the risk it represents to the process</w:t>
      </w:r>
      <w:r>
        <w:t>.</w:t>
      </w:r>
    </w:p>
    <w:p w:rsidR="00F9076A" w:rsidP="00F9076A" w14:paraId="7327B8FB" w14:textId="77777777">
      <w:pPr>
        <w:ind w:left="360"/>
        <w:rPr>
          <w:i/>
          <w:iCs/>
        </w:rPr>
      </w:pPr>
    </w:p>
    <w:p w:rsidR="00F9076A" w:rsidP="002576CE" w14:paraId="55F05D1C" w14:textId="77777777">
      <w:r>
        <w:t>Process characterization is a critical precursor to OQ, and this is where engineering runs are performed to study the process and arrive at the worst-case challenge conditions that will be challenged in OQ.</w:t>
      </w:r>
    </w:p>
    <w:p w:rsidR="00F9076A" w:rsidP="00F9076A" w14:paraId="0130D29E" w14:textId="77777777">
      <w:pPr>
        <w:ind w:left="360"/>
      </w:pPr>
    </w:p>
    <w:p w:rsidR="00F9076A" w:rsidP="002576CE" w14:paraId="490CA9E6" w14:textId="77777777">
      <w:r>
        <w:t>Documented evidence for critical process parameters and their respective operating limits is a required prerequisite for OQ. The following information should be known after process characterization:</w:t>
      </w:r>
    </w:p>
    <w:p w:rsidR="00F9076A" w:rsidP="00853B2E" w14:paraId="05DEC6BC" w14:textId="77777777">
      <w:pPr>
        <w:pStyle w:val="ListParagraph"/>
        <w:numPr>
          <w:ilvl w:val="0"/>
          <w:numId w:val="15"/>
        </w:numPr>
      </w:pPr>
      <w:r>
        <w:t>What the statistically and practically significant process parameters are. Note: These parameters are the critical process parameters.</w:t>
      </w:r>
    </w:p>
    <w:p w:rsidR="00F9076A" w:rsidP="00853B2E" w14:paraId="4E7AC1A2" w14:textId="77777777">
      <w:pPr>
        <w:pStyle w:val="ListParagraph"/>
        <w:numPr>
          <w:ilvl w:val="0"/>
          <w:numId w:val="15"/>
        </w:numPr>
      </w:pPr>
      <w:r>
        <w:t>The main effects of the critical process parameters on the critical quality attributes.</w:t>
      </w:r>
    </w:p>
    <w:p w:rsidR="00F9076A" w:rsidP="00853B2E" w14:paraId="56634B8D" w14:textId="77777777">
      <w:pPr>
        <w:pStyle w:val="ListParagraph"/>
        <w:numPr>
          <w:ilvl w:val="0"/>
          <w:numId w:val="15"/>
        </w:numPr>
      </w:pPr>
      <w:r>
        <w:t>How interactions between process parameters affect the critical quality attributes.</w:t>
      </w:r>
    </w:p>
    <w:p w:rsidR="00F9076A" w:rsidP="00853B2E" w14:paraId="3A56490C" w14:textId="77777777">
      <w:pPr>
        <w:pStyle w:val="ListParagraph"/>
        <w:numPr>
          <w:ilvl w:val="0"/>
          <w:numId w:val="15"/>
        </w:numPr>
      </w:pPr>
      <w:r>
        <w:t>Operating limits, process control limits, and action levels for critical process parameters.</w:t>
      </w:r>
    </w:p>
    <w:p w:rsidR="00F9076A" w:rsidP="00853B2E" w14:paraId="1B3D2F9F" w14:textId="77777777">
      <w:pPr>
        <w:pStyle w:val="ListParagraph"/>
        <w:numPr>
          <w:ilvl w:val="0"/>
          <w:numId w:val="15"/>
        </w:numPr>
      </w:pPr>
      <w:r>
        <w:t>Initial estimate of process capability for critical quality attributes.</w:t>
      </w:r>
    </w:p>
    <w:p w:rsidR="00F9076A" w:rsidP="00F9076A" w14:paraId="1558AD92" w14:textId="77777777"/>
    <w:p w:rsidR="00F9076A" w:rsidP="00F534A5" w14:paraId="06078678" w14:textId="77777777">
      <w:r>
        <w:t>Figure 6 shows a 6-step approach to characterizing a process in preparation for OQ, to estimate process capability, to set action limits, and to determine worst-case testing conditions.</w:t>
      </w:r>
    </w:p>
    <w:p w:rsidR="00F9076A" w:rsidP="00F9076A" w14:paraId="69BE678F" w14:textId="77777777">
      <w:r>
        <w:rPr>
          <w:noProof/>
          <w14:ligatures w14:val="standardContextual"/>
        </w:rPr>
        <w:drawing>
          <wp:inline distT="0" distB="0" distL="0" distR="0">
            <wp:extent cx="5479576" cy="2667451"/>
            <wp:effectExtent l="19050" t="19050" r="26035" b="19050"/>
            <wp:docPr id="3" name="Picture 2" descr="A diagram of a process output&#10;&#10;Description automatically generated">
              <a:extLst xmlns:a="http://schemas.openxmlformats.org/drawingml/2006/main">
                <a:ext xmlns:a="http://schemas.openxmlformats.org/drawingml/2006/main" uri="{FF2B5EF4-FFF2-40B4-BE49-F238E27FC236}">
                  <a16:creationId xmlns:a16="http://schemas.microsoft.com/office/drawing/2014/main" id="{85BC6D35-F2CF-4F99-A312-EE734FBC3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iagram of a process output&#10;&#10;Description automatically generated">
                      <a:extLst>
                        <a:ext xmlns:a="http://schemas.openxmlformats.org/drawingml/2006/main" uri="{FF2B5EF4-FFF2-40B4-BE49-F238E27FC236}">
                          <a16:creationId xmlns:a16="http://schemas.microsoft.com/office/drawing/2014/main" id="{85BC6D35-F2CF-4F99-A312-EE734FBC37BD}"/>
                        </a:ext>
                      </a:extLst>
                    </pic:cNvPr>
                    <pic:cNvPicPr>
                      <a:picLocks noChangeAspect="1"/>
                    </pic:cNvPicPr>
                  </pic:nvPicPr>
                  <pic:blipFill>
                    <a:blip xmlns:r="http://schemas.openxmlformats.org/officeDocument/2006/relationships" r:embed="rId17"/>
                    <a:stretch>
                      <a:fillRect/>
                    </a:stretch>
                  </pic:blipFill>
                  <pic:spPr>
                    <a:xfrm>
                      <a:off x="0" y="0"/>
                      <a:ext cx="5486601" cy="2670871"/>
                    </a:xfrm>
                    <a:prstGeom prst="rect">
                      <a:avLst/>
                    </a:prstGeom>
                    <a:ln w="12700">
                      <a:solidFill>
                        <a:schemeClr val="accent1"/>
                      </a:solidFill>
                    </a:ln>
                  </pic:spPr>
                </pic:pic>
              </a:graphicData>
            </a:graphic>
          </wp:inline>
        </w:drawing>
      </w:r>
    </w:p>
    <w:p w:rsidR="00F9076A" w:rsidP="00F9076A" w14:paraId="4897BB1B" w14:textId="77777777">
      <w:r>
        <w:t xml:space="preserve">Figure 6. 6-step approach to prepare for OQ execution </w:t>
      </w:r>
    </w:p>
    <w:p w:rsidR="00F9076A" w:rsidP="00F9076A" w14:paraId="7FF1D2B2" w14:textId="77777777"/>
    <w:p w:rsidR="00F9076A" w:rsidP="00F534A5" w14:paraId="7B2CF956" w14:textId="2AEFA45E">
      <w:r>
        <w:t>Note: This section provides an overview of the activities. The details of experimentation, data analysis, and process modelling are not described here. Consult a Six Sigma Blackbelt on how to execute Design of Experiments, Data Analysis, Process Modeling, and Hypothesis Testing.</w:t>
      </w:r>
      <w:r w:rsidR="0071678A">
        <w:t xml:space="preserve"> The Design of Experiments methodology is described here. Other types of experiments are also acceptable.</w:t>
      </w:r>
    </w:p>
    <w:p w:rsidR="00F9076A" w:rsidP="00837D3D" w14:paraId="0766500E" w14:textId="77777777">
      <w:pPr>
        <w:pStyle w:val="Heading3"/>
      </w:pPr>
      <w:r w:rsidRPr="00F81D49">
        <w:t>Identify process outputs to be studied.</w:t>
      </w:r>
      <w:r>
        <w:t xml:space="preserve"> At a minimum, all critical quality attributes should be assessed. However, other process outputs should also be assessed to gain a basic understanding of the process.</w:t>
      </w:r>
    </w:p>
    <w:p w:rsidR="00F9076A" w:rsidP="00837D3D" w14:paraId="7B19EDA4" w14:textId="77777777">
      <w:pPr>
        <w:pStyle w:val="Heading3"/>
      </w:pPr>
      <w:r w:rsidRPr="009B5E12">
        <w:rPr>
          <w:b/>
          <w:bCs/>
        </w:rPr>
        <w:t>Identify potential process inputs</w:t>
      </w:r>
      <w:r w:rsidRPr="00F81D49">
        <w:t>. All</w:t>
      </w:r>
      <w:r>
        <w:t xml:space="preserve"> process inputs should be identified. A process diagram is created to describe both controlled and uncontrolled process inputs. Brainstorming and a review of the PFMEAs are typically used to identify inputs. </w:t>
      </w:r>
    </w:p>
    <w:p w:rsidR="00F9076A" w:rsidP="00837D3D" w14:paraId="2CBEB480" w14:textId="77777777">
      <w:pPr>
        <w:pStyle w:val="Heading4"/>
      </w:pPr>
      <w:r>
        <w:t xml:space="preserve">Controlled inputs are equipment settings (process parameters), specified raw materials, fixtures, process operators, etc. </w:t>
      </w:r>
    </w:p>
    <w:p w:rsidR="00F9076A" w:rsidP="00837D3D" w14:paraId="2B1F5929" w14:textId="77777777">
      <w:pPr>
        <w:pStyle w:val="Heading4"/>
      </w:pPr>
      <w:r>
        <w:t>Uncontrolled process inputs are ambient temperature, relative humidity, and other sources of variations such as differences between received raw material or component batches, differences between duplicate equipment, differences in operator skill, etc. Robust design principles may be used during the optimizing phase to establish equipment settings which are robust to various sources of uncontrolled variation.</w:t>
      </w:r>
    </w:p>
    <w:p w:rsidR="00F9076A" w:rsidP="00837D3D" w14:paraId="6CAC3862" w14:textId="77777777">
      <w:pPr>
        <w:pStyle w:val="Heading3"/>
      </w:pPr>
      <w:r w:rsidRPr="009B5E12">
        <w:rPr>
          <w:b/>
          <w:bCs/>
        </w:rPr>
        <w:t>Identify significant process inputs</w:t>
      </w:r>
      <w:r w:rsidRPr="00F81D49">
        <w:t>.</w:t>
      </w:r>
      <w:r>
        <w:t xml:space="preserve"> Screening studies can be performed to identify the significant process inputs. A screening study is a type of design experiment whose primary purpose is to identify significant process inputs. These experiments involve running the process at pre-planned settings and measuring the resulting process outputs. </w:t>
      </w:r>
    </w:p>
    <w:p w:rsidR="00F9076A" w:rsidRPr="00E97743" w:rsidP="00F81D49" w14:paraId="25FBF42D" w14:textId="77777777">
      <w:pPr>
        <w:pStyle w:val="ListParagraph"/>
        <w:numPr>
          <w:ilvl w:val="0"/>
          <w:numId w:val="0"/>
        </w:numPr>
        <w:ind w:left="720"/>
      </w:pPr>
      <w:r w:rsidRPr="00E8170F">
        <w:t xml:space="preserve">The goal of </w:t>
      </w:r>
      <w:r>
        <w:t>a Process Characterization Study (</w:t>
      </w:r>
      <w:r w:rsidRPr="00E8170F">
        <w:t>PCS</w:t>
      </w:r>
      <w:r>
        <w:t>)</w:t>
      </w:r>
      <w:r w:rsidRPr="00E8170F">
        <w:t xml:space="preserve"> is to identify process parameters that have a statistically significant impact on the critical quality attributes (CQA) of the product. Statistical significance itself does not imply that results have practical consequence</w:t>
      </w:r>
      <w:r>
        <w:t>s</w:t>
      </w:r>
      <w:r w:rsidRPr="00E8170F">
        <w:t xml:space="preserve">. </w:t>
      </w:r>
      <w:r>
        <w:t>The specific Process SME</w:t>
      </w:r>
      <w:r w:rsidRPr="00E8170F">
        <w:t xml:space="preserve"> should use </w:t>
      </w:r>
      <w:r>
        <w:t xml:space="preserve">their </w:t>
      </w:r>
      <w:r w:rsidRPr="00E8170F">
        <w:t xml:space="preserve">specialized knowledge </w:t>
      </w:r>
      <w:r>
        <w:t xml:space="preserve">and experience </w:t>
      </w:r>
      <w:r w:rsidRPr="00E8170F">
        <w:t xml:space="preserve">to determine whether the difference is practically significant. When a parameter is identified as statistically significant and the difference is also practically significant, this parameter </w:t>
      </w:r>
      <w:r>
        <w:t xml:space="preserve">is then acknowledged as a </w:t>
      </w:r>
      <w:r w:rsidRPr="00E8170F">
        <w:t>critical process parameter (CPP). CPPs are optimized during PCS, challenged in OQ</w:t>
      </w:r>
      <w:r>
        <w:t xml:space="preserve">, confirmed in </w:t>
      </w:r>
      <w:r w:rsidRPr="00E8170F">
        <w:t>PQ</w:t>
      </w:r>
      <w:r>
        <w:t>,</w:t>
      </w:r>
      <w:r w:rsidRPr="00E8170F">
        <w:t xml:space="preserve"> and are monitored in routine production. </w:t>
      </w:r>
    </w:p>
    <w:p w:rsidR="00F9076A" w:rsidP="00837D3D" w14:paraId="4DD31D77" w14:textId="77777777">
      <w:pPr>
        <w:pStyle w:val="Heading3"/>
      </w:pPr>
      <w:r w:rsidRPr="00890B09">
        <w:rPr>
          <w:b/>
          <w:bCs/>
        </w:rPr>
        <w:t>Characterize and optimize</w:t>
      </w:r>
      <w:r w:rsidRPr="00F81D49">
        <w:t>. When</w:t>
      </w:r>
      <w:r>
        <w:t xml:space="preserve"> the critical process parameters are known, the goal is to establish an understanding of interactions between these parameters as well as their effects on the critical quality attributes. A detailed modeling experiment may be conducted to establish transfer functions. The transfer functions may be used to model the process with the intent of establishing the optimal operating window for each critical process parameter. Tools such as Minitab Response Optimizer can be used to determine the optimal set point for critical process parameters.</w:t>
      </w:r>
    </w:p>
    <w:p w:rsidR="00D155DE" w:rsidP="00837D3D" w14:paraId="79DF7B15" w14:textId="77777777">
      <w:pPr>
        <w:pStyle w:val="Heading3"/>
      </w:pPr>
      <w:r w:rsidRPr="008A6F87">
        <w:rPr>
          <w:b/>
          <w:bCs/>
        </w:rPr>
        <w:t>Verify transfer function and estimate process capability</w:t>
      </w:r>
      <w:r w:rsidRPr="00B567C2">
        <w:t xml:space="preserve">. </w:t>
      </w:r>
      <w:r w:rsidR="003342B4">
        <w:t>A</w:t>
      </w:r>
      <w:r w:rsidRPr="00B567C2">
        <w:t xml:space="preserve"> confirmation run</w:t>
      </w:r>
      <w:r w:rsidR="003342B4">
        <w:t xml:space="preserve"> should be executed</w:t>
      </w:r>
      <w:r w:rsidRPr="00B567C2">
        <w:t xml:space="preserve"> to verify the validity of the experimental model</w:t>
      </w:r>
      <w:r>
        <w:t xml:space="preserve"> (transfer functions). Enough samples should be produced and analyzed to create an initial estimate of process capability. </w:t>
      </w:r>
    </w:p>
    <w:p w:rsidR="00F9076A" w:rsidP="00837D3D" w14:paraId="371E4422" w14:textId="5864BA1F">
      <w:pPr>
        <w:pStyle w:val="Heading4"/>
      </w:pPr>
      <w:r>
        <w:t xml:space="preserve">A hypothesis test </w:t>
      </w:r>
      <w:r w:rsidR="007570E1">
        <w:t>should be completed to compare the sample mean with the predicted value from the experiment</w:t>
      </w:r>
      <w:r w:rsidR="00BC3A6C">
        <w:t xml:space="preserve"> to determine if the population mean differs from the specified target.</w:t>
      </w:r>
    </w:p>
    <w:p w:rsidR="00F9076A" w:rsidP="00837D3D" w14:paraId="75AA7567" w14:textId="691E4402">
      <w:pPr>
        <w:pStyle w:val="Heading4"/>
      </w:pPr>
      <w:r>
        <w:t xml:space="preserve">If the </w:t>
      </w:r>
      <w:r w:rsidR="00381F99">
        <w:t>hypothesis test</w:t>
      </w:r>
      <w:r>
        <w:t xml:space="preserve"> identifies a </w:t>
      </w:r>
      <w:r w:rsidR="00173DA6">
        <w:t xml:space="preserve">statistically </w:t>
      </w:r>
      <w:r>
        <w:t>significant difference between the calculated sample mean and the predicted mean from the experimental model, the transfer functions may be invalid, and additional experiments may be necessary.</w:t>
      </w:r>
    </w:p>
    <w:p w:rsidR="00F9076A" w:rsidP="00837D3D" w14:paraId="2766D499" w14:textId="069F4B8D">
      <w:pPr>
        <w:pStyle w:val="Heading3"/>
      </w:pPr>
      <w:r w:rsidRPr="00173DA6">
        <w:rPr>
          <w:b/>
          <w:bCs/>
        </w:rPr>
        <w:t>Set action levels</w:t>
      </w:r>
      <w:r w:rsidRPr="00B567C2">
        <w:t>. Action levels</w:t>
      </w:r>
      <w:r>
        <w:t xml:space="preserve"> can be established by process engineers based on process knowledge. A better method is to establish the inherent equipment variation and to set the action limit to ± 4.5 standard deviations</w:t>
      </w:r>
      <w:r w:rsidR="005D3DB0">
        <w:t xml:space="preserve"> around the established set point</w:t>
      </w:r>
      <w:r>
        <w:t xml:space="preserve">. Once the process </w:t>
      </w:r>
      <w:r>
        <w:t>reaches the action level, an adjustment may be required to bring the process parameter closer to the nominal setpoint. Figure 7 shows the action level for a critical process parameter.  The histogram represents common cause equipment variation. The action level alerts the process operator before equipment drifts outside of the qualified operating window.</w:t>
      </w:r>
    </w:p>
    <w:p w:rsidR="00F9076A" w:rsidP="00F9076A" w14:paraId="2EF6C5E1" w14:textId="77777777"/>
    <w:p w:rsidR="00F9076A" w:rsidP="00F9076A" w14:paraId="4C12097A" w14:textId="77777777">
      <w:pPr>
        <w:ind w:left="540" w:firstLine="187"/>
      </w:pPr>
      <w:r>
        <w:rPr>
          <w:noProof/>
        </w:rPr>
        <w:drawing>
          <wp:inline distT="0" distB="0" distL="0" distR="0">
            <wp:extent cx="3360572" cy="2789275"/>
            <wp:effectExtent l="19050" t="19050" r="11430" b="11430"/>
            <wp:docPr id="1195266161" name="Picture 1"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266161" name="Picture 1" descr="A diagram of a function&#10;&#10;Description automatically generated"/>
                    <pic:cNvPicPr/>
                  </pic:nvPicPr>
                  <pic:blipFill>
                    <a:blip xmlns:r="http://schemas.openxmlformats.org/officeDocument/2006/relationships" r:embed="rId18"/>
                    <a:stretch>
                      <a:fillRect/>
                    </a:stretch>
                  </pic:blipFill>
                  <pic:spPr>
                    <a:xfrm>
                      <a:off x="0" y="0"/>
                      <a:ext cx="3364541" cy="2792569"/>
                    </a:xfrm>
                    <a:prstGeom prst="rect">
                      <a:avLst/>
                    </a:prstGeom>
                    <a:ln>
                      <a:solidFill>
                        <a:schemeClr val="accent1"/>
                      </a:solidFill>
                    </a:ln>
                  </pic:spPr>
                </pic:pic>
              </a:graphicData>
            </a:graphic>
          </wp:inline>
        </w:drawing>
      </w:r>
    </w:p>
    <w:p w:rsidR="00F9076A" w:rsidP="00F9076A" w14:paraId="6B0264C2" w14:textId="77777777">
      <w:pPr>
        <w:ind w:left="630" w:firstLine="180"/>
      </w:pPr>
      <w:r>
        <w:t>Figure 7. Schematic depiction of an action level</w:t>
      </w:r>
    </w:p>
    <w:p w:rsidR="00F9076A" w:rsidP="00F9076A" w14:paraId="55E065B4" w14:textId="77777777"/>
    <w:p w:rsidR="00F9076A" w:rsidP="00B567C2" w14:paraId="1CAA94B7" w14:textId="77777777">
      <w:pPr>
        <w:ind w:left="720"/>
      </w:pPr>
      <w:r>
        <w:t>Test results of process characterization studies must be documented and controlled to provide evidence and underpinning for the operating limits that will be challenged in OQ, confirmed in PQ, and used for the commercial manufacturing process.</w:t>
      </w:r>
    </w:p>
    <w:p w:rsidR="00F9076A" w:rsidP="00464AC9" w14:paraId="7BA9F63E" w14:textId="77777777">
      <w:pPr>
        <w:rPr>
          <w:rFonts w:ascii="Calibri" w:hAnsi="Calibri" w:cs="Calibri"/>
          <w:color w:val="0070C0"/>
          <w:sz w:val="24"/>
          <w:szCs w:val="24"/>
        </w:rPr>
      </w:pPr>
    </w:p>
    <w:p w:rsidR="009263AD" w:rsidP="00EE1EA6" w14:paraId="7035B6F1" w14:textId="715B0D6C">
      <w:pPr>
        <w:pStyle w:val="Heading2"/>
      </w:pPr>
      <w:bookmarkStart w:id="42" w:name="_Toc166687341"/>
      <w:bookmarkStart w:id="43" w:name="_Toc188651139"/>
      <w:bookmarkStart w:id="44" w:name="_Toc256000024"/>
      <w:r>
        <w:t>OQ Prerequisites</w:t>
      </w:r>
      <w:bookmarkEnd w:id="44"/>
      <w:bookmarkEnd w:id="42"/>
      <w:bookmarkEnd w:id="43"/>
    </w:p>
    <w:p w:rsidR="009263AD" w:rsidP="00EA2BB1" w14:paraId="57B825DF" w14:textId="77777777">
      <w:bookmarkStart w:id="45" w:name="_Hlk166136918"/>
      <w:r>
        <w:t>The following activities need to be completed before the OQ protocol is executed:</w:t>
      </w:r>
    </w:p>
    <w:p w:rsidR="009263AD" w:rsidP="00837D3D" w14:paraId="4E91D29F" w14:textId="77777777">
      <w:pPr>
        <w:pStyle w:val="Heading3"/>
      </w:pPr>
      <w:r>
        <w:t>Unless there is sufficient historic data available the process must be characterized before the OQ protocol is written. Results must be documented in an approved test report.</w:t>
      </w:r>
    </w:p>
    <w:p w:rsidR="009263AD" w:rsidP="00837D3D" w14:paraId="4B4A0C35" w14:textId="2865984D">
      <w:pPr>
        <w:pStyle w:val="Heading3"/>
      </w:pPr>
      <w:r>
        <w:t>Equipment, tools, and fixtures used for building OQ samples must be production equivalent and must have an approved installation qualification report.</w:t>
      </w:r>
      <w:r w:rsidR="00E169A4">
        <w:t xml:space="preserve"> The same equipment must be used for the OQ as is used in </w:t>
      </w:r>
      <w:r w:rsidR="0052682E">
        <w:t>production.</w:t>
      </w:r>
    </w:p>
    <w:p w:rsidR="009263AD" w:rsidP="00837D3D" w14:paraId="72C31D0D" w14:textId="77777777">
      <w:pPr>
        <w:pStyle w:val="Heading3"/>
      </w:pPr>
      <w:bookmarkStart w:id="46" w:name="_Hlk170889154"/>
      <w:r>
        <w:t>The materials used for the build (raw material, parts, sub-assemblies) must be qualified.</w:t>
      </w:r>
    </w:p>
    <w:bookmarkEnd w:id="46"/>
    <w:p w:rsidR="009263AD" w:rsidP="00837D3D" w14:paraId="423E66B8" w14:textId="77777777">
      <w:pPr>
        <w:pStyle w:val="Heading3"/>
      </w:pPr>
      <w:r>
        <w:t>TMV reports must be approved for the tests, inspections, and measurements executed as part of the OQ study</w:t>
      </w:r>
      <w:r>
        <w:t>.</w:t>
      </w:r>
    </w:p>
    <w:p w:rsidR="009263AD" w:rsidP="00837D3D" w14:paraId="6EF7895E" w14:textId="77777777">
      <w:pPr>
        <w:pStyle w:val="Heading3"/>
      </w:pPr>
      <w:r>
        <w:t>Software validation must be completed for all custom software.</w:t>
      </w:r>
    </w:p>
    <w:p w:rsidR="009263AD" w:rsidP="00837D3D" w14:paraId="295DC3E6" w14:textId="444DB2D4">
      <w:pPr>
        <w:pStyle w:val="Heading3"/>
      </w:pPr>
      <w:r>
        <w:t xml:space="preserve">The initial </w:t>
      </w:r>
      <w:r w:rsidR="00A33D8A">
        <w:t xml:space="preserve">risk assessment </w:t>
      </w:r>
      <w:r>
        <w:t>portion of the Process FMEA is complete</w:t>
      </w:r>
      <w:r w:rsidR="00A33D8A">
        <w:t xml:space="preserve"> and approved</w:t>
      </w:r>
      <w:r>
        <w:t>. Severity levels for quality and safety product characteristics have been communicated by Philips in the SRPQP.</w:t>
      </w:r>
    </w:p>
    <w:p w:rsidR="009263AD" w:rsidP="00837D3D" w14:paraId="0D312600" w14:textId="77777777">
      <w:pPr>
        <w:pStyle w:val="Heading3"/>
      </w:pPr>
      <w:r>
        <w:t>The process operators, technicians, inspectors, and engineers participating in the execution of the OQ are trained to the OQ protocol and associated procedures.</w:t>
      </w:r>
    </w:p>
    <w:p w:rsidR="009263AD" w:rsidP="00837D3D" w14:paraId="318B8081" w14:textId="795BEDE0">
      <w:pPr>
        <w:pStyle w:val="Heading3"/>
      </w:pPr>
      <w:r>
        <w:t>The process operators are qualified to perform the actual manufacturing process.</w:t>
      </w:r>
      <w:r w:rsidR="00C92B6B">
        <w:t xml:space="preserve"> Qualification should include more than reading and understanding a work instruction.</w:t>
      </w:r>
    </w:p>
    <w:p w:rsidR="00C92B6B" w:rsidRPr="00C92B6B" w:rsidP="00837D3D" w14:paraId="5EAE4207" w14:textId="22C99F5B">
      <w:pPr>
        <w:pStyle w:val="Heading3"/>
      </w:pPr>
      <w:r>
        <w:t xml:space="preserve">As applicable, process operators and inspectors must be certified to </w:t>
      </w:r>
      <w:r w:rsidR="000D370D">
        <w:t>international standards.</w:t>
      </w:r>
    </w:p>
    <w:p w:rsidR="009263AD" w:rsidP="00837D3D" w14:paraId="4FCD98AC" w14:textId="77777777">
      <w:pPr>
        <w:pStyle w:val="Heading3"/>
      </w:pPr>
      <w:r>
        <w:t>The process validation plan is approved as applicable (if PVP is required per vendor QMS).</w:t>
      </w:r>
    </w:p>
    <w:p w:rsidR="009263AD" w:rsidP="00837D3D" w14:paraId="1D66E716" w14:textId="77777777">
      <w:pPr>
        <w:pStyle w:val="Heading3"/>
      </w:pPr>
      <w:r>
        <w:t>The initial Device Manufacturing Record (DMR) is controlled.</w:t>
      </w:r>
    </w:p>
    <w:p w:rsidR="009263AD" w:rsidP="00837D3D" w14:paraId="0FBC005A" w14:textId="77777777">
      <w:pPr>
        <w:pStyle w:val="Heading3"/>
      </w:pPr>
      <w:r>
        <w:t>The OQ protocol is approved.</w:t>
      </w:r>
    </w:p>
    <w:p w:rsidR="009263AD" w:rsidRPr="00092369" w:rsidP="00EE1EA6" w14:paraId="3A662981" w14:textId="762F988B">
      <w:pPr>
        <w:pStyle w:val="Heading2"/>
      </w:pPr>
      <w:bookmarkStart w:id="47" w:name="_Toc166687342"/>
      <w:bookmarkStart w:id="48" w:name="_Toc188651140"/>
      <w:bookmarkEnd w:id="45"/>
      <w:bookmarkStart w:id="49" w:name="_Toc256000025"/>
      <w:r w:rsidRPr="00092369">
        <w:t>Worst-Case Definition</w:t>
      </w:r>
      <w:bookmarkEnd w:id="49"/>
      <w:bookmarkEnd w:id="47"/>
      <w:bookmarkEnd w:id="48"/>
    </w:p>
    <w:p w:rsidR="009263AD" w:rsidP="000D370D" w14:paraId="7C53052A" w14:textId="77777777">
      <w:r w:rsidRPr="00B84715">
        <w:t>Worst-case testing is a key aspect of operational qualification for medical devices</w:t>
      </w:r>
      <w:r>
        <w:t xml:space="preserve">. Worst case testing involves running the equipment or process at the upper or lower operating limits, or a combination thereof. </w:t>
      </w:r>
      <w:r w:rsidRPr="00B84715">
        <w:t xml:space="preserve">The purpose </w:t>
      </w:r>
      <w:r>
        <w:t xml:space="preserve">is </w:t>
      </w:r>
      <w:r w:rsidRPr="00B84715">
        <w:t xml:space="preserve">to challenge the equipment or process </w:t>
      </w:r>
      <w:r>
        <w:t xml:space="preserve">to ensure that the product meets predetermined requirements even when the equipment runs at the extreme conditions. </w:t>
      </w:r>
    </w:p>
    <w:p w:rsidR="009263AD" w:rsidP="000D370D" w14:paraId="17FA0B28" w14:textId="77777777"/>
    <w:p w:rsidR="009263AD" w:rsidRPr="00716141" w:rsidP="000D370D" w14:paraId="6E8AAA69" w14:textId="77777777">
      <w:r>
        <w:t xml:space="preserve">Failure is not expected during OQ because the operating window was originally established such that the process produces products that meets specifications if the process inputs are operated within that range. </w:t>
      </w:r>
    </w:p>
    <w:p w:rsidR="009263AD" w:rsidRPr="0000447A" w:rsidP="00EE1EA6" w14:paraId="58B876C7" w14:textId="753638EA">
      <w:pPr>
        <w:pStyle w:val="Heading2"/>
      </w:pPr>
      <w:bookmarkStart w:id="50" w:name="_Toc166687343"/>
      <w:bookmarkStart w:id="51" w:name="_Toc188651141"/>
      <w:bookmarkStart w:id="52" w:name="_Toc256000026"/>
      <w:r>
        <w:t>OQ Protocol</w:t>
      </w:r>
      <w:bookmarkEnd w:id="52"/>
      <w:bookmarkEnd w:id="50"/>
      <w:bookmarkEnd w:id="51"/>
    </w:p>
    <w:p w:rsidR="009263AD" w:rsidRPr="005D6E81" w:rsidP="0006568D" w14:paraId="37B19B37" w14:textId="77777777">
      <w:r>
        <w:t xml:space="preserve">The following elements should be included in the OQ protocol. </w:t>
      </w:r>
    </w:p>
    <w:p w:rsidR="009263AD" w:rsidP="00837D3D" w14:paraId="339C6E8A" w14:textId="77777777">
      <w:pPr>
        <w:pStyle w:val="Heading3"/>
      </w:pPr>
      <w:r w:rsidRPr="0006568D">
        <w:rPr>
          <w:b/>
          <w:bCs/>
        </w:rPr>
        <w:t>Purpose</w:t>
      </w:r>
      <w:r w:rsidRPr="00DB5953">
        <w:t>. The</w:t>
      </w:r>
      <w:r>
        <w:t xml:space="preserve"> following is an example of an OQ purpose statement:</w:t>
      </w:r>
    </w:p>
    <w:p w:rsidR="009263AD" w:rsidRPr="002E5225" w:rsidP="0006568D" w14:paraId="13496AA5" w14:textId="77777777">
      <w:pPr>
        <w:spacing w:after="120"/>
        <w:ind w:left="720"/>
        <w:rPr>
          <w:i/>
          <w:iCs/>
        </w:rPr>
      </w:pPr>
      <w:r w:rsidRPr="002E5225">
        <w:rPr>
          <w:i/>
          <w:iCs/>
        </w:rPr>
        <w:t>The purpose of this Operational Qualification (OQ) is to demonstrate by objective evidence that the XXX process produces products that meet all pre-determined requirements under the worst-case conditions of manufacturing.</w:t>
      </w:r>
    </w:p>
    <w:p w:rsidR="009263AD" w:rsidRPr="00DB5953" w:rsidP="00837D3D" w14:paraId="028CEC80" w14:textId="77777777">
      <w:pPr>
        <w:pStyle w:val="Heading3"/>
        <w:rPr>
          <w:bCs/>
        </w:rPr>
      </w:pPr>
      <w:r w:rsidRPr="0006568D">
        <w:rPr>
          <w:b/>
          <w:bCs/>
        </w:rPr>
        <w:t>Scope.</w:t>
      </w:r>
      <w:r w:rsidRPr="00DB5953">
        <w:t xml:space="preserve"> Provides details on what is covered in the specific OQ including but not limited to:</w:t>
      </w:r>
    </w:p>
    <w:p w:rsidR="009263AD" w:rsidRPr="00DB5953" w:rsidP="00837D3D" w14:paraId="73599295" w14:textId="77777777">
      <w:pPr>
        <w:pStyle w:val="Heading4"/>
      </w:pPr>
      <w:r w:rsidRPr="00DB5953">
        <w:t>Location of the process being validated.</w:t>
      </w:r>
    </w:p>
    <w:p w:rsidR="009263AD" w:rsidRPr="00DB5953" w:rsidP="00837D3D" w14:paraId="4E596527" w14:textId="77777777">
      <w:pPr>
        <w:pStyle w:val="Heading4"/>
      </w:pPr>
      <w:r w:rsidRPr="00DB5953">
        <w:t>Part, element (sub-assembly)</w:t>
      </w:r>
      <w:r w:rsidRPr="00DB5953">
        <w:t xml:space="preserve">, </w:t>
      </w:r>
      <w:r w:rsidRPr="00DB5953">
        <w:t>or product/system (10NC/12NC/6NC)</w:t>
      </w:r>
      <w:r w:rsidRPr="00DB5953">
        <w:t xml:space="preserve"> </w:t>
      </w:r>
      <w:r w:rsidRPr="00DB5953">
        <w:t xml:space="preserve">that is made with the process to be validated. </w:t>
      </w:r>
    </w:p>
    <w:p w:rsidR="009263AD" w:rsidRPr="00DB5953" w:rsidP="00837D3D" w14:paraId="568A5FDC" w14:textId="77777777">
      <w:pPr>
        <w:pStyle w:val="Heading4"/>
      </w:pPr>
      <w:r w:rsidRPr="00DB5953">
        <w:t>Manufacturing process name or ID.</w:t>
      </w:r>
    </w:p>
    <w:p w:rsidR="009263AD" w:rsidRPr="00DB5953" w:rsidP="00837D3D" w14:paraId="158C5AD5" w14:textId="77777777">
      <w:pPr>
        <w:pStyle w:val="Heading3"/>
        <w:rPr>
          <w:bCs/>
        </w:rPr>
      </w:pPr>
      <w:r w:rsidRPr="0006568D">
        <w:rPr>
          <w:b/>
          <w:bCs/>
        </w:rPr>
        <w:t>Acronyms and Definitions</w:t>
      </w:r>
      <w:r w:rsidRPr="00DB5953">
        <w:t>. All acronyms and process specific terminology should be defined in this section.</w:t>
      </w:r>
    </w:p>
    <w:p w:rsidR="009263AD" w:rsidRPr="00DB5953" w:rsidP="00837D3D" w14:paraId="44856409" w14:textId="26E8631F">
      <w:pPr>
        <w:pStyle w:val="Heading3"/>
        <w:rPr>
          <w:bCs/>
        </w:rPr>
      </w:pPr>
      <w:r w:rsidRPr="0006568D">
        <w:rPr>
          <w:b/>
          <w:bCs/>
        </w:rPr>
        <w:t>Responsibilities.</w:t>
      </w:r>
      <w:r w:rsidRPr="00DB5953">
        <w:t xml:space="preserve"> This section is optional. It describes the responsibilities for the OQ study. </w:t>
      </w:r>
      <w:bookmarkStart w:id="53" w:name="_Hlk166378544"/>
      <w:r w:rsidRPr="00DB5953">
        <w:t>Note: Employee names or ID numbers are not listed</w:t>
      </w:r>
      <w:r w:rsidR="00367D12">
        <w:t xml:space="preserve"> in the protocol</w:t>
      </w:r>
      <w:r w:rsidRPr="00DB5953">
        <w:t>.</w:t>
      </w:r>
      <w:bookmarkEnd w:id="53"/>
    </w:p>
    <w:p w:rsidR="009263AD" w:rsidRPr="00DB5953" w:rsidP="00837D3D" w14:paraId="4C5B921F" w14:textId="77777777">
      <w:pPr>
        <w:pStyle w:val="Heading3"/>
        <w:rPr>
          <w:bCs/>
        </w:rPr>
      </w:pPr>
      <w:r w:rsidRPr="0006568D">
        <w:rPr>
          <w:b/>
          <w:bCs/>
        </w:rPr>
        <w:t>Background</w:t>
      </w:r>
      <w:r w:rsidRPr="00DB5953">
        <w:t>. This section is optional but highly recommended. It explains to the unfamiliar reader what the OQ is about. It can be used to provide a brief description of the product being made and the process being validated. A summary can be provided to explain how the significant process inputs were determined, how their set points, operating limits, and action levels were established during process characterization. The supplier and its relationship with Philips can also be described here.</w:t>
      </w:r>
    </w:p>
    <w:p w:rsidR="009263AD" w:rsidRPr="00DB5953" w:rsidP="00837D3D" w14:paraId="70019BD5" w14:textId="4C013D46">
      <w:pPr>
        <w:pStyle w:val="Heading3"/>
        <w:rPr>
          <w:bCs/>
        </w:rPr>
      </w:pPr>
      <w:r w:rsidRPr="001961DF">
        <w:rPr>
          <w:b/>
          <w:bCs/>
        </w:rPr>
        <w:t>Protocol Training and Defect Awareness Training for Validation</w:t>
      </w:r>
      <w:r w:rsidRPr="00DB5953">
        <w:t xml:space="preserve">. All personnel executing any part of the OQ protocol must be trained prior to the execution. Training of the protocol content and associated work instructions must be completed. Training records must be established and attached to the OQ report. </w:t>
      </w:r>
      <w:bookmarkStart w:id="54" w:name="_Hlk170204704"/>
      <w:r w:rsidR="001961DF">
        <w:t xml:space="preserve">Personnel is trained after the protocol is </w:t>
      </w:r>
      <w:r w:rsidR="001961DF">
        <w:t>approved but before it is executed.  The dated and signed training form provides the objective evidence that training was executed before the protocol was executed.</w:t>
      </w:r>
    </w:p>
    <w:p w:rsidR="009263AD" w:rsidRPr="00DB5953" w:rsidP="00837D3D" w14:paraId="08C41BCA" w14:textId="77777777">
      <w:pPr>
        <w:pStyle w:val="Heading3"/>
        <w:rPr>
          <w:bCs/>
        </w:rPr>
      </w:pPr>
      <w:r w:rsidRPr="001961DF">
        <w:rPr>
          <w:b/>
          <w:bCs/>
        </w:rPr>
        <w:t>Operator qualification and certification:</w:t>
      </w:r>
      <w:r w:rsidRPr="00DB5953">
        <w:t xml:space="preserve"> Process operators building the OQ samples should be the same operators who will build the product during commercial manufacturing. The process operators should be qualified and if required certified before the OQ commences. For example, welding operators and weld inspectors should be certified to an ISO standard. If certification is required, only certified operators may perform the welding and inspection of OQ samples.</w:t>
      </w:r>
    </w:p>
    <w:bookmarkEnd w:id="54"/>
    <w:p w:rsidR="009263AD" w:rsidRPr="00D3557C" w:rsidP="00837D3D" w14:paraId="666ACCF4" w14:textId="77777777">
      <w:pPr>
        <w:pStyle w:val="Heading3"/>
      </w:pPr>
      <w:r w:rsidRPr="004F72A0">
        <w:rPr>
          <w:b/>
          <w:bCs/>
        </w:rPr>
        <w:t>Deviations from the Protocol</w:t>
      </w:r>
      <w:r w:rsidRPr="00DB5953">
        <w:t>. When deviations from the protocol occur during execution, the protocol must be redlined and signed for approval by designated individuals before continuing with the execution</w:t>
      </w:r>
      <w:r>
        <w:t>. A rationale must be provided with each redline. If a deviation is not discovered until the data is being analyzed, a rationale must be provided in the OQ report why the deviation is acceptable.</w:t>
      </w:r>
    </w:p>
    <w:p w:rsidR="009263AD" w:rsidP="00837D3D" w14:paraId="2A458BCD" w14:textId="77777777">
      <w:pPr>
        <w:pStyle w:val="Heading4"/>
      </w:pPr>
      <w:r w:rsidRPr="00332FCF">
        <w:t>An acceptable</w:t>
      </w:r>
      <w:r>
        <w:t xml:space="preserve"> deviation is an administrative deviation where an inspector uses an outdated form but collects all required data.</w:t>
      </w:r>
    </w:p>
    <w:p w:rsidR="009263AD" w:rsidP="00837D3D" w14:paraId="4911052C" w14:textId="77777777">
      <w:pPr>
        <w:pStyle w:val="Heading4"/>
      </w:pPr>
      <w:r>
        <w:t>An example of an unacceptable deviation is when the inspector used different measurement/test method than specified in the protocol to inspect OQ samples.</w:t>
      </w:r>
    </w:p>
    <w:p w:rsidR="009263AD" w:rsidRPr="00533D3E" w:rsidP="00837D3D" w14:paraId="2D0050B0" w14:textId="77777777">
      <w:pPr>
        <w:pStyle w:val="Heading3"/>
        <w:rPr>
          <w:b/>
          <w:bCs/>
        </w:rPr>
      </w:pPr>
      <w:r w:rsidRPr="00533D3E">
        <w:rPr>
          <w:b/>
          <w:bCs/>
        </w:rPr>
        <w:t>Process Condition</w:t>
      </w:r>
    </w:p>
    <w:p w:rsidR="009263AD" w:rsidRPr="00AA7A9A" w:rsidP="00D854DA" w14:paraId="00243267" w14:textId="77777777">
      <w:pPr>
        <w:rPr>
          <w:b/>
          <w:bCs/>
        </w:rPr>
      </w:pPr>
      <w:r w:rsidRPr="00BD57D4">
        <w:rPr>
          <w:b/>
          <w:bCs/>
        </w:rPr>
        <w:t>Critical Quality Attributes (CQAs)</w:t>
      </w:r>
      <w:r w:rsidRPr="00DB5953">
        <w:t>. Describe</w:t>
      </w:r>
      <w:r>
        <w:t xml:space="preserve"> the critical quality attributes that are tested with the OQ. Table 3 shows an example of the information to be included.</w:t>
      </w:r>
    </w:p>
    <w:p w:rsidR="009263AD" w:rsidRPr="00AA7A9A" w:rsidP="0074725C" w14:paraId="4572573C" w14:textId="0420484A">
      <w:pPr>
        <w:rPr>
          <w:sz w:val="20"/>
          <w:szCs w:val="18"/>
        </w:rPr>
      </w:pPr>
    </w:p>
    <w:tbl>
      <w:tblPr>
        <w:tblStyle w:val="TableGrid"/>
        <w:tblW w:w="9072" w:type="dxa"/>
        <w:tblLayout w:type="fixed"/>
        <w:tblLook w:val="04A0"/>
      </w:tblPr>
      <w:tblGrid>
        <w:gridCol w:w="805"/>
        <w:gridCol w:w="1260"/>
        <w:gridCol w:w="1080"/>
        <w:gridCol w:w="1260"/>
        <w:gridCol w:w="990"/>
        <w:gridCol w:w="1170"/>
        <w:gridCol w:w="1170"/>
        <w:gridCol w:w="1337"/>
      </w:tblGrid>
      <w:tr w14:paraId="7F0C6144" w14:textId="77777777" w:rsidTr="005C08EE">
        <w:tblPrEx>
          <w:tblW w:w="9072" w:type="dxa"/>
          <w:tblLayout w:type="fixed"/>
          <w:tblLook w:val="04A0"/>
        </w:tblPrEx>
        <w:tc>
          <w:tcPr>
            <w:tcW w:w="805" w:type="dxa"/>
            <w:shd w:val="clear" w:color="auto" w:fill="C1E5FF" w:themeFill="accent1" w:themeFillTint="33"/>
          </w:tcPr>
          <w:p w:rsidR="009263AD" w:rsidRPr="0031555A" w:rsidP="005C08EE" w14:paraId="4E89739A" w14:textId="77777777">
            <w:pPr>
              <w:pStyle w:val="ListParagraph"/>
              <w:ind w:left="0"/>
              <w:rPr>
                <w:rFonts w:cstheme="minorHAnsi"/>
                <w:sz w:val="18"/>
                <w:szCs w:val="18"/>
              </w:rPr>
            </w:pPr>
            <w:r>
              <w:rPr>
                <w:rFonts w:cstheme="minorHAnsi"/>
                <w:sz w:val="18"/>
                <w:szCs w:val="18"/>
              </w:rPr>
              <w:t>CQA</w:t>
            </w:r>
          </w:p>
        </w:tc>
        <w:tc>
          <w:tcPr>
            <w:tcW w:w="1260" w:type="dxa"/>
            <w:shd w:val="clear" w:color="auto" w:fill="C1E5FF" w:themeFill="accent1" w:themeFillTint="33"/>
          </w:tcPr>
          <w:p w:rsidR="009263AD" w:rsidRPr="0031555A" w:rsidP="005C08EE" w14:paraId="0A24AB32" w14:textId="77777777">
            <w:pPr>
              <w:pStyle w:val="ListParagraph"/>
              <w:ind w:left="0"/>
              <w:rPr>
                <w:rFonts w:cstheme="minorHAnsi"/>
                <w:sz w:val="18"/>
                <w:szCs w:val="18"/>
              </w:rPr>
            </w:pPr>
            <w:r>
              <w:rPr>
                <w:rFonts w:cstheme="minorHAnsi"/>
                <w:sz w:val="18"/>
                <w:szCs w:val="18"/>
              </w:rPr>
              <w:t>Specification</w:t>
            </w:r>
          </w:p>
        </w:tc>
        <w:tc>
          <w:tcPr>
            <w:tcW w:w="1080" w:type="dxa"/>
            <w:shd w:val="clear" w:color="auto" w:fill="C1E5FF" w:themeFill="accent1" w:themeFillTint="33"/>
          </w:tcPr>
          <w:p w:rsidR="009263AD" w:rsidRPr="0031555A" w:rsidP="005C08EE" w14:paraId="3BC8653F" w14:textId="77777777">
            <w:pPr>
              <w:pStyle w:val="ListParagraph"/>
              <w:ind w:left="0"/>
              <w:rPr>
                <w:rFonts w:cstheme="minorHAnsi"/>
                <w:sz w:val="18"/>
                <w:szCs w:val="18"/>
              </w:rPr>
            </w:pPr>
            <w:r w:rsidRPr="0031555A">
              <w:rPr>
                <w:rFonts w:cstheme="minorHAnsi"/>
                <w:sz w:val="18"/>
                <w:szCs w:val="18"/>
              </w:rPr>
              <w:t>Source</w:t>
            </w:r>
          </w:p>
        </w:tc>
        <w:tc>
          <w:tcPr>
            <w:tcW w:w="1260" w:type="dxa"/>
            <w:shd w:val="clear" w:color="auto" w:fill="C1E5FF" w:themeFill="accent1" w:themeFillTint="33"/>
          </w:tcPr>
          <w:p w:rsidR="009263AD" w:rsidP="005C08EE" w14:paraId="11E0F1B0" w14:textId="77777777">
            <w:pPr>
              <w:pStyle w:val="ListParagraph"/>
              <w:ind w:left="0"/>
              <w:rPr>
                <w:rFonts w:cstheme="minorHAnsi"/>
                <w:sz w:val="18"/>
                <w:szCs w:val="18"/>
              </w:rPr>
            </w:pPr>
            <w:r>
              <w:rPr>
                <w:rFonts w:cstheme="minorHAnsi"/>
                <w:sz w:val="18"/>
                <w:szCs w:val="18"/>
              </w:rPr>
              <w:t>Classification/</w:t>
            </w:r>
          </w:p>
          <w:p w:rsidR="009263AD" w:rsidRPr="0031555A" w:rsidP="005C08EE" w14:paraId="7DA4B192" w14:textId="77777777">
            <w:pPr>
              <w:pStyle w:val="ListParagraph"/>
              <w:ind w:left="0"/>
              <w:rPr>
                <w:rFonts w:cstheme="minorHAnsi"/>
                <w:sz w:val="18"/>
                <w:szCs w:val="18"/>
              </w:rPr>
            </w:pPr>
            <w:r>
              <w:rPr>
                <w:rFonts w:cstheme="minorHAnsi"/>
                <w:sz w:val="18"/>
                <w:szCs w:val="18"/>
              </w:rPr>
              <w:t>Severity</w:t>
            </w:r>
            <w:r>
              <w:rPr>
                <w:rFonts w:cstheme="minorHAnsi"/>
                <w:sz w:val="18"/>
                <w:szCs w:val="18"/>
                <w:vertAlign w:val="superscript"/>
              </w:rPr>
              <w:t xml:space="preserve"> [1]</w:t>
            </w:r>
          </w:p>
        </w:tc>
        <w:tc>
          <w:tcPr>
            <w:tcW w:w="990" w:type="dxa"/>
            <w:shd w:val="clear" w:color="auto" w:fill="C1E5FF" w:themeFill="accent1" w:themeFillTint="33"/>
          </w:tcPr>
          <w:p w:rsidR="009263AD" w:rsidRPr="0031555A" w:rsidP="005C08EE" w14:paraId="323D1691" w14:textId="77777777">
            <w:pPr>
              <w:pStyle w:val="ListParagraph"/>
              <w:ind w:left="0"/>
              <w:rPr>
                <w:rFonts w:cstheme="minorHAnsi"/>
                <w:sz w:val="18"/>
                <w:szCs w:val="18"/>
              </w:rPr>
            </w:pPr>
            <w:r w:rsidRPr="0031555A">
              <w:rPr>
                <w:rFonts w:cstheme="minorHAnsi"/>
                <w:sz w:val="18"/>
                <w:szCs w:val="18"/>
              </w:rPr>
              <w:t>Data Type</w:t>
            </w:r>
          </w:p>
        </w:tc>
        <w:tc>
          <w:tcPr>
            <w:tcW w:w="1170" w:type="dxa"/>
            <w:shd w:val="clear" w:color="auto" w:fill="C1E5FF" w:themeFill="accent1" w:themeFillTint="33"/>
          </w:tcPr>
          <w:p w:rsidR="009263AD" w:rsidRPr="0031555A" w:rsidP="005C08EE" w14:paraId="6C977B23" w14:textId="77777777">
            <w:pPr>
              <w:pStyle w:val="ListParagraph"/>
              <w:ind w:left="0"/>
              <w:rPr>
                <w:rFonts w:cstheme="minorHAnsi"/>
                <w:sz w:val="18"/>
                <w:szCs w:val="18"/>
              </w:rPr>
            </w:pPr>
            <w:r w:rsidRPr="0031555A">
              <w:rPr>
                <w:rFonts w:cstheme="minorHAnsi"/>
                <w:sz w:val="18"/>
                <w:szCs w:val="18"/>
              </w:rPr>
              <w:t>Confidence/</w:t>
            </w:r>
          </w:p>
          <w:p w:rsidR="009263AD" w:rsidRPr="00AA7A9A" w:rsidP="005C08EE" w14:paraId="0A5BCBFA" w14:textId="77777777">
            <w:pPr>
              <w:pStyle w:val="ListParagraph"/>
              <w:ind w:left="0"/>
              <w:rPr>
                <w:rFonts w:cstheme="minorHAnsi"/>
                <w:sz w:val="18"/>
                <w:szCs w:val="18"/>
                <w:vertAlign w:val="superscript"/>
              </w:rPr>
            </w:pPr>
            <w:r w:rsidRPr="0031555A">
              <w:rPr>
                <w:rFonts w:cstheme="minorHAnsi"/>
                <w:sz w:val="18"/>
                <w:szCs w:val="18"/>
              </w:rPr>
              <w:t>Reliability</w:t>
            </w:r>
            <w:r>
              <w:rPr>
                <w:rFonts w:cstheme="minorHAnsi"/>
                <w:sz w:val="18"/>
                <w:szCs w:val="18"/>
                <w:vertAlign w:val="superscript"/>
              </w:rPr>
              <w:t xml:space="preserve"> [1]</w:t>
            </w:r>
          </w:p>
        </w:tc>
        <w:tc>
          <w:tcPr>
            <w:tcW w:w="1170" w:type="dxa"/>
            <w:shd w:val="clear" w:color="auto" w:fill="C1E5FF" w:themeFill="accent1" w:themeFillTint="33"/>
          </w:tcPr>
          <w:p w:rsidR="009263AD" w:rsidRPr="0031555A" w:rsidP="005C08EE" w14:paraId="7EACFCC6" w14:textId="77777777">
            <w:pPr>
              <w:pStyle w:val="ListParagraph"/>
              <w:ind w:left="0"/>
              <w:rPr>
                <w:rFonts w:cstheme="minorHAnsi"/>
                <w:sz w:val="18"/>
                <w:szCs w:val="18"/>
              </w:rPr>
            </w:pPr>
            <w:r>
              <w:rPr>
                <w:rFonts w:cstheme="minorHAnsi"/>
                <w:sz w:val="18"/>
                <w:szCs w:val="18"/>
              </w:rPr>
              <w:t>Sample Size</w:t>
            </w:r>
          </w:p>
        </w:tc>
        <w:tc>
          <w:tcPr>
            <w:tcW w:w="1337" w:type="dxa"/>
            <w:shd w:val="clear" w:color="auto" w:fill="C1E5FF" w:themeFill="accent1" w:themeFillTint="33"/>
          </w:tcPr>
          <w:p w:rsidR="009263AD" w:rsidRPr="0031555A" w:rsidP="005C08EE" w14:paraId="4D6A38A8" w14:textId="77777777">
            <w:pPr>
              <w:pStyle w:val="ListParagraph"/>
              <w:ind w:left="0"/>
              <w:rPr>
                <w:rFonts w:cstheme="minorHAnsi"/>
                <w:sz w:val="18"/>
                <w:szCs w:val="18"/>
              </w:rPr>
            </w:pPr>
            <w:r w:rsidRPr="0031555A">
              <w:rPr>
                <w:rFonts w:cstheme="minorHAnsi"/>
                <w:sz w:val="18"/>
                <w:szCs w:val="18"/>
              </w:rPr>
              <w:t>Measurement Method</w:t>
            </w:r>
          </w:p>
        </w:tc>
      </w:tr>
      <w:tr w14:paraId="0B50CD19" w14:textId="77777777" w:rsidTr="005C08EE">
        <w:tblPrEx>
          <w:tblW w:w="9072" w:type="dxa"/>
          <w:tblLayout w:type="fixed"/>
          <w:tblLook w:val="04A0"/>
        </w:tblPrEx>
        <w:tc>
          <w:tcPr>
            <w:tcW w:w="805" w:type="dxa"/>
          </w:tcPr>
          <w:p w:rsidR="009263AD" w:rsidRPr="0031555A" w:rsidP="005C08EE" w14:paraId="18FC5E8C"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Length</w:t>
            </w:r>
          </w:p>
        </w:tc>
        <w:tc>
          <w:tcPr>
            <w:tcW w:w="1260" w:type="dxa"/>
          </w:tcPr>
          <w:p w:rsidR="009263AD" w:rsidRPr="0031555A" w:rsidP="005C08EE" w14:paraId="24C3E99E"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100mm ± 2mm</w:t>
            </w:r>
          </w:p>
        </w:tc>
        <w:tc>
          <w:tcPr>
            <w:tcW w:w="1080" w:type="dxa"/>
          </w:tcPr>
          <w:p w:rsidR="009263AD" w:rsidRPr="0031555A" w:rsidP="005C08EE" w14:paraId="0AE61430"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Drawing XZY, Rev 2</w:t>
            </w:r>
          </w:p>
        </w:tc>
        <w:tc>
          <w:tcPr>
            <w:tcW w:w="1260" w:type="dxa"/>
          </w:tcPr>
          <w:p w:rsidR="009263AD" w:rsidRPr="00AA7A9A" w:rsidP="005C08EE" w14:paraId="37A13B59" w14:textId="77777777">
            <w:pPr>
              <w:pStyle w:val="ListParagraph"/>
              <w:ind w:left="0"/>
              <w:rPr>
                <w:rFonts w:cstheme="minorHAnsi"/>
                <w:color w:val="000000" w:themeColor="text1"/>
                <w:sz w:val="18"/>
                <w:szCs w:val="18"/>
                <w:vertAlign w:val="superscript"/>
              </w:rPr>
            </w:pPr>
            <w:r w:rsidRPr="0031555A">
              <w:rPr>
                <w:rFonts w:cstheme="minorHAnsi"/>
                <w:color w:val="000000" w:themeColor="text1"/>
                <w:sz w:val="18"/>
                <w:szCs w:val="18"/>
              </w:rPr>
              <w:t>C</w:t>
            </w:r>
            <w:r>
              <w:rPr>
                <w:rFonts w:cstheme="minorHAnsi"/>
                <w:color w:val="000000" w:themeColor="text1"/>
                <w:sz w:val="18"/>
                <w:szCs w:val="18"/>
              </w:rPr>
              <w:t>T</w:t>
            </w:r>
            <w:r w:rsidRPr="0031555A">
              <w:rPr>
                <w:rFonts w:cstheme="minorHAnsi"/>
                <w:color w:val="000000" w:themeColor="text1"/>
                <w:sz w:val="18"/>
                <w:szCs w:val="18"/>
              </w:rPr>
              <w:t>Q</w:t>
            </w:r>
            <w:r>
              <w:rPr>
                <w:rFonts w:cstheme="minorHAnsi"/>
                <w:color w:val="000000" w:themeColor="text1"/>
                <w:sz w:val="18"/>
                <w:szCs w:val="18"/>
              </w:rPr>
              <w:t>-S1</w:t>
            </w:r>
          </w:p>
        </w:tc>
        <w:tc>
          <w:tcPr>
            <w:tcW w:w="990" w:type="dxa"/>
          </w:tcPr>
          <w:p w:rsidR="009263AD" w:rsidRPr="0031555A" w:rsidP="005C08EE" w14:paraId="3F6E8ADE"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Variable</w:t>
            </w:r>
          </w:p>
        </w:tc>
        <w:tc>
          <w:tcPr>
            <w:tcW w:w="1170" w:type="dxa"/>
          </w:tcPr>
          <w:p w:rsidR="009263AD" w:rsidRPr="0031555A" w:rsidP="005C08EE" w14:paraId="0ED22FB5"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95% C</w:t>
            </w:r>
          </w:p>
          <w:p w:rsidR="009263AD" w:rsidRPr="0031555A" w:rsidP="005C08EE" w14:paraId="307CEA0D" w14:textId="77777777">
            <w:pPr>
              <w:pStyle w:val="ListParagraph"/>
              <w:ind w:left="0"/>
              <w:rPr>
                <w:rFonts w:cstheme="minorHAnsi"/>
                <w:color w:val="000000" w:themeColor="text1"/>
                <w:sz w:val="18"/>
                <w:szCs w:val="18"/>
              </w:rPr>
            </w:pPr>
            <w:r>
              <w:rPr>
                <w:rFonts w:cstheme="minorHAnsi"/>
                <w:color w:val="000000" w:themeColor="text1"/>
                <w:sz w:val="18"/>
                <w:szCs w:val="18"/>
              </w:rPr>
              <w:t>90</w:t>
            </w:r>
            <w:r w:rsidRPr="0031555A">
              <w:rPr>
                <w:rFonts w:cstheme="minorHAnsi"/>
                <w:color w:val="000000" w:themeColor="text1"/>
                <w:sz w:val="18"/>
                <w:szCs w:val="18"/>
              </w:rPr>
              <w:t>% R</w:t>
            </w:r>
          </w:p>
        </w:tc>
        <w:tc>
          <w:tcPr>
            <w:tcW w:w="1170" w:type="dxa"/>
          </w:tcPr>
          <w:p w:rsidR="009263AD" w:rsidRPr="0031555A" w:rsidP="005C08EE" w14:paraId="432BD083" w14:textId="77777777">
            <w:pPr>
              <w:pStyle w:val="ListParagraph"/>
              <w:ind w:left="0"/>
              <w:rPr>
                <w:rFonts w:cstheme="minorHAnsi"/>
                <w:color w:val="000000" w:themeColor="text1"/>
                <w:sz w:val="18"/>
                <w:szCs w:val="18"/>
              </w:rPr>
            </w:pPr>
            <w:r>
              <w:rPr>
                <w:rFonts w:cstheme="minorHAnsi"/>
                <w:color w:val="000000" w:themeColor="text1"/>
                <w:sz w:val="18"/>
                <w:szCs w:val="18"/>
              </w:rPr>
              <w:t>15 per OQ run</w:t>
            </w:r>
          </w:p>
        </w:tc>
        <w:tc>
          <w:tcPr>
            <w:tcW w:w="1337" w:type="dxa"/>
          </w:tcPr>
          <w:p w:rsidR="009263AD" w:rsidRPr="0031555A" w:rsidP="00EF2AC8" w14:paraId="02EAF8A0" w14:textId="77777777">
            <w:pPr>
              <w:pStyle w:val="ListParagraph"/>
              <w:keepNext/>
              <w:ind w:left="0"/>
              <w:rPr>
                <w:rFonts w:cstheme="minorHAnsi"/>
                <w:color w:val="000000" w:themeColor="text1"/>
                <w:sz w:val="18"/>
                <w:szCs w:val="18"/>
              </w:rPr>
            </w:pPr>
            <w:r w:rsidRPr="0031555A">
              <w:rPr>
                <w:rFonts w:cstheme="minorHAnsi"/>
                <w:color w:val="000000" w:themeColor="text1"/>
                <w:sz w:val="18"/>
                <w:szCs w:val="18"/>
              </w:rPr>
              <w:t>Digital Calipers (0-150mm)</w:t>
            </w:r>
          </w:p>
        </w:tc>
      </w:tr>
    </w:tbl>
    <w:p w:rsidR="00EF2AC8" w14:paraId="2134F053" w14:textId="0D6B2C29">
      <w:pPr>
        <w:pStyle w:val="Caption"/>
      </w:pPr>
      <w:r>
        <w:t xml:space="preserve">Table </w:t>
      </w:r>
      <w:r>
        <w:fldChar w:fldCharType="begin"/>
      </w:r>
      <w:r>
        <w:instrText xml:space="preserve"> SEQ Tabel \* ARABIC </w:instrText>
      </w:r>
      <w:r>
        <w:fldChar w:fldCharType="separate"/>
      </w:r>
      <w:r>
        <w:t>3</w:t>
      </w:r>
      <w:r>
        <w:fldChar w:fldCharType="end"/>
      </w:r>
      <w:r>
        <w:t>: CQA Example 1</w:t>
      </w:r>
    </w:p>
    <w:p w:rsidR="009263AD" w:rsidP="00B2644F" w14:paraId="35D8E9B0" w14:textId="77777777">
      <w:pPr>
        <w:pStyle w:val="ListParagraph"/>
        <w:numPr>
          <w:ilvl w:val="0"/>
          <w:numId w:val="0"/>
        </w:numPr>
        <w:rPr>
          <w:sz w:val="20"/>
          <w:szCs w:val="18"/>
        </w:rPr>
      </w:pPr>
      <w:r>
        <w:rPr>
          <w:b/>
          <w:bCs/>
          <w:vertAlign w:val="superscript"/>
        </w:rPr>
        <w:t>[1]</w:t>
      </w:r>
      <w:r w:rsidRPr="00AA7A9A">
        <w:rPr>
          <w:sz w:val="20"/>
          <w:szCs w:val="18"/>
        </w:rPr>
        <w:t>Classification/Severity and Confidence Reliability should be provided by Philips</w:t>
      </w:r>
      <w:r>
        <w:rPr>
          <w:sz w:val="20"/>
          <w:szCs w:val="18"/>
        </w:rPr>
        <w:t xml:space="preserve"> in accordance with the sampling plans described in this guideline.</w:t>
      </w:r>
    </w:p>
    <w:p w:rsidR="00BD57D4" w:rsidP="00B2644F" w14:paraId="6ACDDFA2" w14:textId="77777777">
      <w:pPr>
        <w:pStyle w:val="ListParagraph"/>
        <w:numPr>
          <w:ilvl w:val="0"/>
          <w:numId w:val="0"/>
        </w:numPr>
        <w:rPr>
          <w:sz w:val="20"/>
          <w:szCs w:val="18"/>
        </w:rPr>
      </w:pPr>
    </w:p>
    <w:p w:rsidR="00D854DA" w:rsidRPr="00BD57D4" w:rsidP="00D854DA" w14:paraId="2163938D" w14:textId="428D2398">
      <w:r w:rsidRPr="00BD57D4">
        <w:rPr>
          <w:b/>
          <w:bCs/>
        </w:rPr>
        <w:t>Critical Process Parameters (CPPs).</w:t>
      </w:r>
      <w:r w:rsidRPr="00DB5953">
        <w:t xml:space="preserve"> Describe</w:t>
      </w:r>
      <w:r>
        <w:rPr>
          <w:b/>
          <w:bCs/>
        </w:rPr>
        <w:t xml:space="preserve"> </w:t>
      </w:r>
      <w:r>
        <w:t>the critical process parameters that are challenged with the OQ study. Two tables are recommended. The first table lists the inputs and their respective operating ranges.</w:t>
      </w:r>
    </w:p>
    <w:tbl>
      <w:tblPr>
        <w:tblStyle w:val="TableGrid"/>
        <w:tblW w:w="9072" w:type="dxa"/>
        <w:tblLook w:val="04A0"/>
      </w:tblPr>
      <w:tblGrid>
        <w:gridCol w:w="1962"/>
        <w:gridCol w:w="2101"/>
        <w:gridCol w:w="1910"/>
        <w:gridCol w:w="3099"/>
      </w:tblGrid>
      <w:tr w14:paraId="6819D269" w14:textId="77777777" w:rsidTr="005C08EE">
        <w:tblPrEx>
          <w:tblW w:w="9072" w:type="dxa"/>
          <w:tblLook w:val="04A0"/>
        </w:tblPrEx>
        <w:trPr>
          <w:tblHeader/>
        </w:trPr>
        <w:tc>
          <w:tcPr>
            <w:tcW w:w="1849" w:type="dxa"/>
            <w:shd w:val="clear" w:color="auto" w:fill="C1E5FF" w:themeFill="accent1" w:themeFillTint="33"/>
          </w:tcPr>
          <w:p w:rsidR="009263AD" w:rsidRPr="000C4559" w:rsidP="005C08EE" w14:paraId="4321A201" w14:textId="77777777">
            <w:pPr>
              <w:pStyle w:val="ListParagraph"/>
              <w:ind w:left="0"/>
              <w:rPr>
                <w:rFonts w:cstheme="minorHAnsi"/>
                <w:sz w:val="18"/>
                <w:szCs w:val="16"/>
              </w:rPr>
            </w:pPr>
            <w:r>
              <w:rPr>
                <w:rFonts w:cstheme="minorHAnsi"/>
                <w:sz w:val="18"/>
                <w:szCs w:val="16"/>
              </w:rPr>
              <w:t>CPP</w:t>
            </w:r>
          </w:p>
        </w:tc>
        <w:tc>
          <w:tcPr>
            <w:tcW w:w="1980" w:type="dxa"/>
            <w:shd w:val="clear" w:color="auto" w:fill="C1E5FF" w:themeFill="accent1" w:themeFillTint="33"/>
          </w:tcPr>
          <w:p w:rsidR="009263AD" w:rsidRPr="000C4559" w:rsidP="005C08EE" w14:paraId="7C50C9DD" w14:textId="77777777">
            <w:pPr>
              <w:pStyle w:val="ListParagraph"/>
              <w:ind w:left="0"/>
              <w:rPr>
                <w:rFonts w:cstheme="minorHAnsi"/>
                <w:sz w:val="18"/>
                <w:szCs w:val="16"/>
              </w:rPr>
            </w:pPr>
            <w:r w:rsidRPr="000C4559">
              <w:rPr>
                <w:rFonts w:cstheme="minorHAnsi"/>
                <w:sz w:val="18"/>
                <w:szCs w:val="16"/>
              </w:rPr>
              <w:t>Low Operating Limit</w:t>
            </w:r>
          </w:p>
        </w:tc>
        <w:tc>
          <w:tcPr>
            <w:tcW w:w="1800" w:type="dxa"/>
            <w:shd w:val="clear" w:color="auto" w:fill="C1E5FF" w:themeFill="accent1" w:themeFillTint="33"/>
          </w:tcPr>
          <w:p w:rsidR="009263AD" w:rsidRPr="000C4559" w:rsidP="005C08EE" w14:paraId="425D2AC1" w14:textId="77777777">
            <w:pPr>
              <w:pStyle w:val="ListParagraph"/>
              <w:ind w:left="0"/>
              <w:rPr>
                <w:rFonts w:cstheme="minorHAnsi"/>
                <w:sz w:val="18"/>
                <w:szCs w:val="16"/>
              </w:rPr>
            </w:pPr>
            <w:r w:rsidRPr="000C4559">
              <w:rPr>
                <w:rFonts w:cstheme="minorHAnsi"/>
                <w:sz w:val="18"/>
                <w:szCs w:val="16"/>
              </w:rPr>
              <w:t>Nominal Setting</w:t>
            </w:r>
          </w:p>
        </w:tc>
        <w:tc>
          <w:tcPr>
            <w:tcW w:w="2921" w:type="dxa"/>
            <w:shd w:val="clear" w:color="auto" w:fill="C1E5FF" w:themeFill="accent1" w:themeFillTint="33"/>
          </w:tcPr>
          <w:p w:rsidR="009263AD" w:rsidRPr="000C4559" w:rsidP="005C08EE" w14:paraId="0B3E178A" w14:textId="77777777">
            <w:pPr>
              <w:pStyle w:val="ListParagraph"/>
              <w:ind w:left="0"/>
              <w:rPr>
                <w:rFonts w:cstheme="minorHAnsi"/>
                <w:sz w:val="18"/>
                <w:szCs w:val="16"/>
              </w:rPr>
            </w:pPr>
            <w:r w:rsidRPr="000C4559">
              <w:rPr>
                <w:rFonts w:cstheme="minorHAnsi"/>
                <w:sz w:val="18"/>
                <w:szCs w:val="16"/>
              </w:rPr>
              <w:t>High Operating Limit</w:t>
            </w:r>
          </w:p>
        </w:tc>
      </w:tr>
      <w:tr w14:paraId="3DF82F5A" w14:textId="77777777" w:rsidTr="005C08EE">
        <w:tblPrEx>
          <w:tblW w:w="9072" w:type="dxa"/>
          <w:tblLook w:val="04A0"/>
        </w:tblPrEx>
        <w:tc>
          <w:tcPr>
            <w:tcW w:w="1849" w:type="dxa"/>
          </w:tcPr>
          <w:p w:rsidR="009263AD" w:rsidRPr="000C4559" w:rsidP="005C08EE" w14:paraId="41A9F8B6"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Seal Temperature</w:t>
            </w:r>
          </w:p>
        </w:tc>
        <w:tc>
          <w:tcPr>
            <w:tcW w:w="1980" w:type="dxa"/>
          </w:tcPr>
          <w:p w:rsidR="009263AD" w:rsidRPr="000C4559" w:rsidP="005C08EE" w14:paraId="30B72D8B"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130°C</w:t>
            </w:r>
          </w:p>
        </w:tc>
        <w:tc>
          <w:tcPr>
            <w:tcW w:w="1800" w:type="dxa"/>
          </w:tcPr>
          <w:p w:rsidR="009263AD" w:rsidRPr="000C4559" w:rsidP="005C08EE" w14:paraId="7E5AF5A6"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140°C</w:t>
            </w:r>
          </w:p>
        </w:tc>
        <w:tc>
          <w:tcPr>
            <w:tcW w:w="2921" w:type="dxa"/>
          </w:tcPr>
          <w:p w:rsidR="009263AD" w:rsidRPr="000C4559" w:rsidP="005C08EE" w14:paraId="028EDE70"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150°C</w:t>
            </w:r>
          </w:p>
        </w:tc>
      </w:tr>
      <w:tr w14:paraId="12889BAC" w14:textId="77777777" w:rsidTr="005C08EE">
        <w:tblPrEx>
          <w:tblW w:w="9072" w:type="dxa"/>
          <w:tblLook w:val="04A0"/>
        </w:tblPrEx>
        <w:tc>
          <w:tcPr>
            <w:tcW w:w="1849" w:type="dxa"/>
          </w:tcPr>
          <w:p w:rsidR="009263AD" w:rsidRPr="000C4559" w:rsidP="005C08EE" w14:paraId="753D602B"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Dwell Time</w:t>
            </w:r>
          </w:p>
        </w:tc>
        <w:tc>
          <w:tcPr>
            <w:tcW w:w="1980" w:type="dxa"/>
          </w:tcPr>
          <w:p w:rsidR="009263AD" w:rsidRPr="000C4559" w:rsidP="005C08EE" w14:paraId="4E9F459C"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1.0 sec</w:t>
            </w:r>
          </w:p>
        </w:tc>
        <w:tc>
          <w:tcPr>
            <w:tcW w:w="1800" w:type="dxa"/>
          </w:tcPr>
          <w:p w:rsidR="009263AD" w:rsidRPr="000C4559" w:rsidP="005C08EE" w14:paraId="4F3E5267"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1.25 sec.</w:t>
            </w:r>
          </w:p>
        </w:tc>
        <w:tc>
          <w:tcPr>
            <w:tcW w:w="2921" w:type="dxa"/>
          </w:tcPr>
          <w:p w:rsidR="009263AD" w:rsidRPr="000C4559" w:rsidP="005C08EE" w14:paraId="24EC265E"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1.5 sec</w:t>
            </w:r>
          </w:p>
        </w:tc>
      </w:tr>
      <w:tr w14:paraId="497BF114" w14:textId="77777777" w:rsidTr="005C08EE">
        <w:tblPrEx>
          <w:tblW w:w="9072" w:type="dxa"/>
          <w:tblLook w:val="04A0"/>
        </w:tblPrEx>
        <w:tc>
          <w:tcPr>
            <w:tcW w:w="1849" w:type="dxa"/>
          </w:tcPr>
          <w:p w:rsidR="009263AD" w:rsidRPr="000C4559" w:rsidP="005C08EE" w14:paraId="1DC8DFD1"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Cool Time</w:t>
            </w:r>
          </w:p>
        </w:tc>
        <w:tc>
          <w:tcPr>
            <w:tcW w:w="1980" w:type="dxa"/>
          </w:tcPr>
          <w:p w:rsidR="009263AD" w:rsidRPr="000C4559" w:rsidP="005C08EE" w14:paraId="3E3F0F98"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2 sec</w:t>
            </w:r>
          </w:p>
        </w:tc>
        <w:tc>
          <w:tcPr>
            <w:tcW w:w="1800" w:type="dxa"/>
          </w:tcPr>
          <w:p w:rsidR="009263AD" w:rsidRPr="000C4559" w:rsidP="005C08EE" w14:paraId="14461CAD"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3 sec</w:t>
            </w:r>
          </w:p>
        </w:tc>
        <w:tc>
          <w:tcPr>
            <w:tcW w:w="2921" w:type="dxa"/>
          </w:tcPr>
          <w:p w:rsidR="009263AD" w:rsidRPr="000C4559" w:rsidP="005C08EE" w14:paraId="60C6E63F"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4 sec</w:t>
            </w:r>
          </w:p>
        </w:tc>
      </w:tr>
      <w:tr w14:paraId="4A6B21CB" w14:textId="77777777" w:rsidTr="005C08EE">
        <w:tblPrEx>
          <w:tblW w:w="9072" w:type="dxa"/>
          <w:tblLook w:val="04A0"/>
        </w:tblPrEx>
        <w:tc>
          <w:tcPr>
            <w:tcW w:w="1849" w:type="dxa"/>
          </w:tcPr>
          <w:p w:rsidR="009263AD" w:rsidRPr="000C4559" w:rsidP="005C08EE" w14:paraId="32DC5F36"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Pressure</w:t>
            </w:r>
          </w:p>
        </w:tc>
        <w:tc>
          <w:tcPr>
            <w:tcW w:w="1980" w:type="dxa"/>
          </w:tcPr>
          <w:p w:rsidR="009263AD" w:rsidRPr="000C4559" w:rsidP="005C08EE" w14:paraId="4B3D7761"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50 Psi</w:t>
            </w:r>
          </w:p>
        </w:tc>
        <w:tc>
          <w:tcPr>
            <w:tcW w:w="1800" w:type="dxa"/>
          </w:tcPr>
          <w:p w:rsidR="009263AD" w:rsidRPr="000C4559" w:rsidP="005C08EE" w14:paraId="10199923" w14:textId="77777777">
            <w:pPr>
              <w:pStyle w:val="ListParagraph"/>
              <w:ind w:left="0"/>
              <w:rPr>
                <w:rFonts w:cstheme="minorHAnsi"/>
                <w:color w:val="000000" w:themeColor="text1"/>
                <w:sz w:val="18"/>
                <w:szCs w:val="16"/>
              </w:rPr>
            </w:pPr>
            <w:r w:rsidRPr="000C4559">
              <w:rPr>
                <w:rFonts w:cstheme="minorHAnsi"/>
                <w:color w:val="000000" w:themeColor="text1"/>
                <w:sz w:val="18"/>
                <w:szCs w:val="16"/>
              </w:rPr>
              <w:t>55 Psi</w:t>
            </w:r>
          </w:p>
        </w:tc>
        <w:tc>
          <w:tcPr>
            <w:tcW w:w="2921" w:type="dxa"/>
          </w:tcPr>
          <w:p w:rsidR="009263AD" w:rsidRPr="000C4559" w:rsidP="00EF2AC8" w14:paraId="41147F79" w14:textId="77777777">
            <w:pPr>
              <w:pStyle w:val="ListParagraph"/>
              <w:keepNext/>
              <w:ind w:left="0"/>
              <w:rPr>
                <w:rFonts w:cstheme="minorHAnsi"/>
                <w:color w:val="000000" w:themeColor="text1"/>
                <w:sz w:val="18"/>
                <w:szCs w:val="16"/>
              </w:rPr>
            </w:pPr>
            <w:r w:rsidRPr="000C4559">
              <w:rPr>
                <w:rFonts w:cstheme="minorHAnsi"/>
                <w:color w:val="000000" w:themeColor="text1"/>
                <w:sz w:val="18"/>
                <w:szCs w:val="16"/>
              </w:rPr>
              <w:t>60 Psi</w:t>
            </w:r>
          </w:p>
        </w:tc>
      </w:tr>
    </w:tbl>
    <w:p w:rsidR="009263AD" w:rsidP="00EF2AC8" w14:paraId="0AFC449D" w14:textId="7DCF5166">
      <w:pPr>
        <w:pStyle w:val="Caption"/>
        <w:rPr>
          <w:b/>
          <w:bCs/>
        </w:rPr>
      </w:pPr>
      <w:r>
        <w:t xml:space="preserve">Table </w:t>
      </w:r>
      <w:r>
        <w:fldChar w:fldCharType="begin"/>
      </w:r>
      <w:r>
        <w:instrText xml:space="preserve"> SEQ Tabel \* ARABIC </w:instrText>
      </w:r>
      <w:r>
        <w:fldChar w:fldCharType="separate"/>
      </w:r>
      <w:r>
        <w:t>4</w:t>
      </w:r>
      <w:r>
        <w:fldChar w:fldCharType="end"/>
      </w:r>
      <w:r>
        <w:t xml:space="preserve">: </w:t>
      </w:r>
      <w:r w:rsidRPr="008539D5">
        <w:t>Example of CQA Summary Table</w:t>
      </w:r>
    </w:p>
    <w:p w:rsidR="009263AD" w:rsidRPr="00BD57D4" w:rsidP="00B2644F" w14:paraId="63CE2E01" w14:textId="0B449696">
      <w:r>
        <w:t>The second table describes the worst-case challenge conditions (OQ 1 and OQ 2, sometimes also described as OQ high and OQ low)</w:t>
      </w:r>
    </w:p>
    <w:tbl>
      <w:tblPr>
        <w:tblStyle w:val="TableGrid"/>
        <w:tblW w:w="0" w:type="auto"/>
        <w:tblLook w:val="04A0"/>
      </w:tblPr>
      <w:tblGrid>
        <w:gridCol w:w="2114"/>
        <w:gridCol w:w="995"/>
        <w:gridCol w:w="1350"/>
      </w:tblGrid>
      <w:tr w14:paraId="58273A94" w14:textId="77777777" w:rsidTr="00B2644F">
        <w:tblPrEx>
          <w:tblW w:w="0" w:type="auto"/>
          <w:tblLook w:val="04A0"/>
        </w:tblPrEx>
        <w:tc>
          <w:tcPr>
            <w:tcW w:w="2114" w:type="dxa"/>
            <w:shd w:val="clear" w:color="auto" w:fill="C1E5FF" w:themeFill="accent1" w:themeFillTint="33"/>
          </w:tcPr>
          <w:p w:rsidR="009263AD" w:rsidRPr="000C4559" w:rsidP="00EF2AC8" w14:paraId="77C7BC32" w14:textId="77777777">
            <w:pPr>
              <w:pStyle w:val="ListParagraph"/>
              <w:numPr>
                <w:ilvl w:val="0"/>
                <w:numId w:val="0"/>
              </w:numPr>
              <w:rPr>
                <w:rFonts w:cstheme="minorHAnsi"/>
                <w:sz w:val="18"/>
                <w:szCs w:val="16"/>
              </w:rPr>
            </w:pPr>
            <w:r>
              <w:rPr>
                <w:rFonts w:cstheme="minorHAnsi"/>
                <w:sz w:val="18"/>
                <w:szCs w:val="16"/>
              </w:rPr>
              <w:t>CPP</w:t>
            </w:r>
          </w:p>
        </w:tc>
        <w:tc>
          <w:tcPr>
            <w:tcW w:w="995" w:type="dxa"/>
            <w:shd w:val="clear" w:color="auto" w:fill="C1E5FF" w:themeFill="accent1" w:themeFillTint="33"/>
          </w:tcPr>
          <w:p w:rsidR="009263AD" w:rsidRPr="000C4559" w:rsidP="00EF2AC8" w14:paraId="448BB037" w14:textId="77777777">
            <w:pPr>
              <w:pStyle w:val="ListParagraph"/>
              <w:numPr>
                <w:ilvl w:val="0"/>
                <w:numId w:val="0"/>
              </w:numPr>
              <w:rPr>
                <w:rFonts w:cstheme="minorHAnsi"/>
                <w:sz w:val="18"/>
                <w:szCs w:val="16"/>
              </w:rPr>
            </w:pPr>
            <w:r w:rsidRPr="000C4559">
              <w:rPr>
                <w:rFonts w:cstheme="minorHAnsi"/>
                <w:sz w:val="18"/>
                <w:szCs w:val="16"/>
              </w:rPr>
              <w:t>OQ 1</w:t>
            </w:r>
          </w:p>
        </w:tc>
        <w:tc>
          <w:tcPr>
            <w:tcW w:w="1350" w:type="dxa"/>
            <w:shd w:val="clear" w:color="auto" w:fill="C1E5FF" w:themeFill="accent1" w:themeFillTint="33"/>
          </w:tcPr>
          <w:p w:rsidR="009263AD" w:rsidRPr="000C4559" w:rsidP="00EF2AC8" w14:paraId="3DF4171B" w14:textId="77777777">
            <w:pPr>
              <w:pStyle w:val="ListParagraph"/>
              <w:numPr>
                <w:ilvl w:val="0"/>
                <w:numId w:val="0"/>
              </w:numPr>
              <w:rPr>
                <w:rFonts w:cstheme="minorHAnsi"/>
                <w:sz w:val="18"/>
                <w:szCs w:val="16"/>
              </w:rPr>
            </w:pPr>
            <w:r w:rsidRPr="000C4559">
              <w:rPr>
                <w:rFonts w:cstheme="minorHAnsi"/>
                <w:sz w:val="18"/>
                <w:szCs w:val="16"/>
              </w:rPr>
              <w:t>OQ 2</w:t>
            </w:r>
          </w:p>
        </w:tc>
      </w:tr>
      <w:tr w14:paraId="423EBB55" w14:textId="77777777" w:rsidTr="00B2644F">
        <w:tblPrEx>
          <w:tblW w:w="0" w:type="auto"/>
          <w:tblLook w:val="04A0"/>
        </w:tblPrEx>
        <w:tc>
          <w:tcPr>
            <w:tcW w:w="2114" w:type="dxa"/>
          </w:tcPr>
          <w:p w:rsidR="009263AD" w:rsidRPr="000C4559" w:rsidP="00EF2AC8" w14:paraId="73FF1C73" w14:textId="77777777">
            <w:pPr>
              <w:pStyle w:val="ListParagraph"/>
              <w:numPr>
                <w:ilvl w:val="0"/>
                <w:numId w:val="0"/>
              </w:numPr>
              <w:rPr>
                <w:rFonts w:cstheme="minorHAnsi"/>
                <w:color w:val="000000" w:themeColor="text1"/>
                <w:sz w:val="18"/>
                <w:szCs w:val="16"/>
              </w:rPr>
            </w:pPr>
            <w:r w:rsidRPr="000C4559">
              <w:rPr>
                <w:rFonts w:cstheme="minorHAnsi"/>
                <w:color w:val="000000" w:themeColor="text1"/>
                <w:sz w:val="18"/>
                <w:szCs w:val="16"/>
              </w:rPr>
              <w:t>Seal Temperature</w:t>
            </w:r>
          </w:p>
        </w:tc>
        <w:tc>
          <w:tcPr>
            <w:tcW w:w="995" w:type="dxa"/>
          </w:tcPr>
          <w:p w:rsidR="009263AD" w:rsidRPr="000C4559" w:rsidP="00EF2AC8" w14:paraId="1CF35C12" w14:textId="77777777">
            <w:pPr>
              <w:pStyle w:val="ListParagraph"/>
              <w:numPr>
                <w:ilvl w:val="0"/>
                <w:numId w:val="0"/>
              </w:numPr>
              <w:rPr>
                <w:rFonts w:cstheme="minorHAnsi"/>
                <w:color w:val="000000" w:themeColor="text1"/>
                <w:sz w:val="18"/>
                <w:szCs w:val="16"/>
              </w:rPr>
            </w:pPr>
            <w:r w:rsidRPr="000C4559">
              <w:rPr>
                <w:rFonts w:cstheme="minorHAnsi"/>
                <w:color w:val="000000" w:themeColor="text1"/>
                <w:sz w:val="18"/>
                <w:szCs w:val="16"/>
              </w:rPr>
              <w:t>130°C</w:t>
            </w:r>
          </w:p>
        </w:tc>
        <w:tc>
          <w:tcPr>
            <w:tcW w:w="1350" w:type="dxa"/>
          </w:tcPr>
          <w:p w:rsidR="009263AD" w:rsidRPr="000C4559" w:rsidP="00EF2AC8" w14:paraId="3F1FCE6B" w14:textId="3CCA0434">
            <w:pPr>
              <w:pStyle w:val="ListParagraph"/>
              <w:numPr>
                <w:ilvl w:val="0"/>
                <w:numId w:val="0"/>
              </w:numPr>
              <w:rPr>
                <w:rFonts w:cstheme="minorHAnsi"/>
                <w:color w:val="000000" w:themeColor="text1"/>
                <w:sz w:val="18"/>
                <w:szCs w:val="16"/>
              </w:rPr>
            </w:pPr>
            <w:r>
              <w:rPr>
                <w:rFonts w:cstheme="minorHAnsi"/>
                <w:color w:val="000000" w:themeColor="text1"/>
                <w:sz w:val="18"/>
                <w:szCs w:val="16"/>
              </w:rPr>
              <w:t>1</w:t>
            </w:r>
            <w:r w:rsidRPr="000C4559">
              <w:rPr>
                <w:rFonts w:cstheme="minorHAnsi"/>
                <w:color w:val="000000" w:themeColor="text1"/>
                <w:sz w:val="18"/>
                <w:szCs w:val="16"/>
              </w:rPr>
              <w:t>50°C</w:t>
            </w:r>
          </w:p>
        </w:tc>
      </w:tr>
      <w:tr w14:paraId="5B97C732" w14:textId="77777777" w:rsidTr="00B2644F">
        <w:tblPrEx>
          <w:tblW w:w="0" w:type="auto"/>
          <w:tblLook w:val="04A0"/>
        </w:tblPrEx>
        <w:tc>
          <w:tcPr>
            <w:tcW w:w="2114" w:type="dxa"/>
          </w:tcPr>
          <w:p w:rsidR="009263AD" w:rsidRPr="000C4559" w:rsidP="00EF2AC8" w14:paraId="7BA58B42" w14:textId="77777777">
            <w:pPr>
              <w:pStyle w:val="ListParagraph"/>
              <w:numPr>
                <w:ilvl w:val="0"/>
                <w:numId w:val="0"/>
              </w:numPr>
              <w:rPr>
                <w:rFonts w:cstheme="minorHAnsi"/>
                <w:color w:val="000000" w:themeColor="text1"/>
                <w:sz w:val="18"/>
                <w:szCs w:val="16"/>
              </w:rPr>
            </w:pPr>
            <w:r w:rsidRPr="000C4559">
              <w:rPr>
                <w:rFonts w:cstheme="minorHAnsi"/>
                <w:color w:val="000000" w:themeColor="text1"/>
                <w:sz w:val="18"/>
                <w:szCs w:val="16"/>
              </w:rPr>
              <w:t>Dwell Time</w:t>
            </w:r>
          </w:p>
        </w:tc>
        <w:tc>
          <w:tcPr>
            <w:tcW w:w="995" w:type="dxa"/>
          </w:tcPr>
          <w:p w:rsidR="009263AD" w:rsidRPr="000C4559" w:rsidP="00853B2E" w14:paraId="18DC6BF3" w14:textId="2D1002C7">
            <w:pPr>
              <w:pStyle w:val="ListParagraph"/>
              <w:numPr>
                <w:ilvl w:val="0"/>
                <w:numId w:val="12"/>
              </w:numPr>
              <w:rPr>
                <w:rFonts w:cstheme="minorHAnsi"/>
                <w:color w:val="000000" w:themeColor="text1"/>
                <w:sz w:val="18"/>
                <w:szCs w:val="16"/>
              </w:rPr>
            </w:pPr>
            <w:r w:rsidRPr="000C4559">
              <w:rPr>
                <w:rFonts w:cstheme="minorHAnsi"/>
                <w:color w:val="000000" w:themeColor="text1"/>
                <w:sz w:val="18"/>
                <w:szCs w:val="16"/>
              </w:rPr>
              <w:t>sec</w:t>
            </w:r>
          </w:p>
        </w:tc>
        <w:tc>
          <w:tcPr>
            <w:tcW w:w="1350" w:type="dxa"/>
          </w:tcPr>
          <w:p w:rsidR="009263AD" w:rsidRPr="000C4559" w:rsidP="00EF2AC8" w14:paraId="5B25FE40" w14:textId="77777777">
            <w:pPr>
              <w:pStyle w:val="ListParagraph"/>
              <w:numPr>
                <w:ilvl w:val="0"/>
                <w:numId w:val="0"/>
              </w:numPr>
              <w:rPr>
                <w:rFonts w:cstheme="minorHAnsi"/>
                <w:color w:val="000000" w:themeColor="text1"/>
                <w:sz w:val="18"/>
                <w:szCs w:val="16"/>
              </w:rPr>
            </w:pPr>
            <w:r w:rsidRPr="000C4559">
              <w:rPr>
                <w:rFonts w:cstheme="minorHAnsi"/>
                <w:color w:val="000000" w:themeColor="text1"/>
                <w:sz w:val="18"/>
                <w:szCs w:val="16"/>
              </w:rPr>
              <w:t>1.5 sec.</w:t>
            </w:r>
          </w:p>
        </w:tc>
      </w:tr>
      <w:tr w14:paraId="194FE9E3" w14:textId="77777777" w:rsidTr="00B2644F">
        <w:tblPrEx>
          <w:tblW w:w="0" w:type="auto"/>
          <w:tblLook w:val="04A0"/>
        </w:tblPrEx>
        <w:tc>
          <w:tcPr>
            <w:tcW w:w="2114" w:type="dxa"/>
          </w:tcPr>
          <w:p w:rsidR="009263AD" w:rsidRPr="000C4559" w:rsidP="00EF2AC8" w14:paraId="68C1C338" w14:textId="77777777">
            <w:pPr>
              <w:pStyle w:val="ListParagraph"/>
              <w:numPr>
                <w:ilvl w:val="0"/>
                <w:numId w:val="0"/>
              </w:numPr>
              <w:rPr>
                <w:rFonts w:cstheme="minorHAnsi"/>
                <w:color w:val="000000" w:themeColor="text1"/>
                <w:sz w:val="18"/>
                <w:szCs w:val="16"/>
              </w:rPr>
            </w:pPr>
            <w:r w:rsidRPr="000C4559">
              <w:rPr>
                <w:rFonts w:cstheme="minorHAnsi"/>
                <w:color w:val="000000" w:themeColor="text1"/>
                <w:sz w:val="18"/>
                <w:szCs w:val="16"/>
              </w:rPr>
              <w:t>Cool Time</w:t>
            </w:r>
          </w:p>
        </w:tc>
        <w:tc>
          <w:tcPr>
            <w:tcW w:w="995" w:type="dxa"/>
          </w:tcPr>
          <w:p w:rsidR="009263AD" w:rsidRPr="000C4559" w:rsidP="00EF2AC8" w14:paraId="6C6B376C" w14:textId="77777777">
            <w:pPr>
              <w:pStyle w:val="ListParagraph"/>
              <w:numPr>
                <w:ilvl w:val="0"/>
                <w:numId w:val="0"/>
              </w:numPr>
              <w:rPr>
                <w:rFonts w:cstheme="minorHAnsi"/>
                <w:color w:val="000000" w:themeColor="text1"/>
                <w:sz w:val="18"/>
                <w:szCs w:val="16"/>
              </w:rPr>
            </w:pPr>
            <w:r w:rsidRPr="000C4559">
              <w:rPr>
                <w:rFonts w:cstheme="minorHAnsi"/>
                <w:color w:val="000000" w:themeColor="text1"/>
                <w:sz w:val="18"/>
                <w:szCs w:val="16"/>
              </w:rPr>
              <w:t>4 sec</w:t>
            </w:r>
          </w:p>
        </w:tc>
        <w:tc>
          <w:tcPr>
            <w:tcW w:w="1350" w:type="dxa"/>
          </w:tcPr>
          <w:p w:rsidR="009263AD" w:rsidRPr="000C4559" w:rsidP="00EF2AC8" w14:paraId="683A22A4" w14:textId="77777777">
            <w:pPr>
              <w:pStyle w:val="ListParagraph"/>
              <w:numPr>
                <w:ilvl w:val="0"/>
                <w:numId w:val="0"/>
              </w:numPr>
              <w:rPr>
                <w:rFonts w:cstheme="minorHAnsi"/>
                <w:color w:val="000000" w:themeColor="text1"/>
                <w:sz w:val="18"/>
                <w:szCs w:val="16"/>
              </w:rPr>
            </w:pPr>
            <w:r w:rsidRPr="000C4559">
              <w:rPr>
                <w:rFonts w:cstheme="minorHAnsi"/>
                <w:color w:val="000000" w:themeColor="text1"/>
                <w:sz w:val="18"/>
                <w:szCs w:val="16"/>
              </w:rPr>
              <w:t>2 sec</w:t>
            </w:r>
          </w:p>
        </w:tc>
      </w:tr>
      <w:tr w14:paraId="779527CA" w14:textId="77777777" w:rsidTr="00B2644F">
        <w:tblPrEx>
          <w:tblW w:w="0" w:type="auto"/>
          <w:tblLook w:val="04A0"/>
        </w:tblPrEx>
        <w:tc>
          <w:tcPr>
            <w:tcW w:w="2114" w:type="dxa"/>
          </w:tcPr>
          <w:p w:rsidR="009263AD" w:rsidRPr="000C4559" w:rsidP="00EF2AC8" w14:paraId="29CC6A0E" w14:textId="77777777">
            <w:pPr>
              <w:pStyle w:val="ListParagraph"/>
              <w:numPr>
                <w:ilvl w:val="0"/>
                <w:numId w:val="0"/>
              </w:numPr>
              <w:rPr>
                <w:rFonts w:cstheme="minorHAnsi"/>
                <w:color w:val="000000" w:themeColor="text1"/>
                <w:sz w:val="18"/>
                <w:szCs w:val="16"/>
              </w:rPr>
            </w:pPr>
            <w:r w:rsidRPr="000C4559">
              <w:rPr>
                <w:rFonts w:cstheme="minorHAnsi"/>
                <w:color w:val="000000" w:themeColor="text1"/>
                <w:sz w:val="18"/>
                <w:szCs w:val="16"/>
              </w:rPr>
              <w:t>Pressure</w:t>
            </w:r>
          </w:p>
        </w:tc>
        <w:tc>
          <w:tcPr>
            <w:tcW w:w="995" w:type="dxa"/>
          </w:tcPr>
          <w:p w:rsidR="009263AD" w:rsidRPr="000C4559" w:rsidP="00EF2AC8" w14:paraId="220D6498" w14:textId="77777777">
            <w:pPr>
              <w:pStyle w:val="ListParagraph"/>
              <w:numPr>
                <w:ilvl w:val="0"/>
                <w:numId w:val="0"/>
              </w:numPr>
              <w:rPr>
                <w:rFonts w:cstheme="minorHAnsi"/>
                <w:color w:val="000000" w:themeColor="text1"/>
                <w:sz w:val="18"/>
                <w:szCs w:val="16"/>
              </w:rPr>
            </w:pPr>
            <w:r w:rsidRPr="000C4559">
              <w:rPr>
                <w:rFonts w:cstheme="minorHAnsi"/>
                <w:color w:val="000000" w:themeColor="text1"/>
                <w:sz w:val="18"/>
                <w:szCs w:val="16"/>
              </w:rPr>
              <w:t>50 Psi</w:t>
            </w:r>
          </w:p>
        </w:tc>
        <w:tc>
          <w:tcPr>
            <w:tcW w:w="1350" w:type="dxa"/>
          </w:tcPr>
          <w:p w:rsidR="009263AD" w:rsidRPr="000C4559" w:rsidP="00EF2AC8" w14:paraId="76D8D5F6" w14:textId="77777777">
            <w:pPr>
              <w:pStyle w:val="ListParagraph"/>
              <w:keepNext/>
              <w:numPr>
                <w:ilvl w:val="0"/>
                <w:numId w:val="0"/>
              </w:numPr>
              <w:rPr>
                <w:rFonts w:cstheme="minorHAnsi"/>
                <w:color w:val="000000" w:themeColor="text1"/>
                <w:sz w:val="18"/>
                <w:szCs w:val="16"/>
              </w:rPr>
            </w:pPr>
            <w:r w:rsidRPr="000C4559">
              <w:rPr>
                <w:rFonts w:cstheme="minorHAnsi"/>
                <w:color w:val="000000" w:themeColor="text1"/>
                <w:sz w:val="18"/>
                <w:szCs w:val="16"/>
              </w:rPr>
              <w:t>60 Psi</w:t>
            </w:r>
          </w:p>
        </w:tc>
      </w:tr>
    </w:tbl>
    <w:p w:rsidR="00B2644F" w:rsidP="00EF2AC8" w14:paraId="40E370D4" w14:textId="3657FC0D">
      <w:pPr>
        <w:pStyle w:val="Caption"/>
      </w:pPr>
      <w:r>
        <w:t xml:space="preserve">Table </w:t>
      </w:r>
      <w:r>
        <w:fldChar w:fldCharType="begin"/>
      </w:r>
      <w:r>
        <w:instrText xml:space="preserve"> SEQ Tabel \* ARABIC </w:instrText>
      </w:r>
      <w:r>
        <w:fldChar w:fldCharType="separate"/>
      </w:r>
      <w:r>
        <w:t>5</w:t>
      </w:r>
      <w:r>
        <w:fldChar w:fldCharType="end"/>
      </w:r>
      <w:r>
        <w:t xml:space="preserve">: </w:t>
      </w:r>
      <w:r w:rsidRPr="00AB385D">
        <w:t>Example of Worst-Case Process Settings</w:t>
      </w:r>
    </w:p>
    <w:p w:rsidR="009263AD" w:rsidP="006C2AB0" w14:paraId="3024601A" w14:textId="425293A8">
      <w:r>
        <w:t>An explanation should be provided why the presented OQ 1 and OQ 2 conditions are the worst case for the product being made.</w:t>
      </w:r>
    </w:p>
    <w:p w:rsidR="006C2AB0" w:rsidP="006C2AB0" w14:paraId="72E00A1A" w14:textId="77777777"/>
    <w:p w:rsidR="009263AD" w:rsidP="006C2AB0" w14:paraId="7E8798B0" w14:textId="59FA501B">
      <w:r>
        <w:t>Controlled work instructions may be referenced in the protocol to describe the settings for all non-critical process parameters. If draft work instructions are used, they must be attached to the protocol.</w:t>
      </w:r>
    </w:p>
    <w:p w:rsidR="006C2AB0" w:rsidP="006C2AB0" w14:paraId="7DF8E66F" w14:textId="77777777"/>
    <w:p w:rsidR="009263AD" w:rsidP="006C2AB0" w14:paraId="32F99093" w14:textId="17F06FAC">
      <w:r>
        <w:t>Actual values for critical process parameters must be monitored during OQ run execution.  The Set-points and actual value should be documented at least at the beginning, middle, and the end of each OQ run.</w:t>
      </w:r>
    </w:p>
    <w:p w:rsidR="009263AD" w:rsidRPr="00762F84" w:rsidP="00837D3D" w14:paraId="2B2C1BF7" w14:textId="77777777">
      <w:pPr>
        <w:pStyle w:val="Heading3"/>
        <w:rPr>
          <w:b/>
        </w:rPr>
      </w:pPr>
      <w:r w:rsidRPr="006C2AB0">
        <w:rPr>
          <w:b/>
          <w:bCs/>
        </w:rPr>
        <w:t>Build Requirements.</w:t>
      </w:r>
      <w:r w:rsidRPr="0096438A">
        <w:t xml:space="preserve"> This</w:t>
      </w:r>
      <w:r>
        <w:t xml:space="preserve"> chapter describes the following:</w:t>
      </w:r>
    </w:p>
    <w:p w:rsidR="009263AD" w:rsidRPr="0096438A" w:rsidP="00837D3D" w14:paraId="56398DEC" w14:textId="77777777">
      <w:pPr>
        <w:pStyle w:val="Heading4"/>
      </w:pPr>
      <w:r w:rsidRPr="006C2AB0">
        <w:rPr>
          <w:b/>
          <w:bCs/>
        </w:rPr>
        <w:t>Equipment.</w:t>
      </w:r>
      <w:r w:rsidRPr="0096438A">
        <w:t xml:space="preserve"> Document a list of equipment, tooling, and fixtures that will be used to build the OQ samples. It is a CDRH expectation that the equipment used during validation is documented. Only qualified equipment, tooling, and fixtures may be used for OQ. The same equipment that will be used for commercial manufacturing must be used for OQ.</w:t>
      </w:r>
    </w:p>
    <w:p w:rsidR="009263AD" w:rsidRPr="0096438A" w:rsidP="00837D3D" w14:paraId="7906839A" w14:textId="77777777">
      <w:pPr>
        <w:pStyle w:val="Heading4"/>
      </w:pPr>
      <w:r w:rsidRPr="00C554D6">
        <w:rPr>
          <w:b/>
          <w:bCs/>
        </w:rPr>
        <w:t>Work Instructions.</w:t>
      </w:r>
      <w:r w:rsidRPr="0096438A">
        <w:t xml:space="preserve"> The OQ protocol must include a complete list of work instructions that will control the manufacture of OQ samples. The same work instructions that will be used for commercial manufacturing need to be used for OQ. The work instructions should be complete, approved, and referenced in the protocol by title and document number. It is acceptable to use draft work instructions if they are attached to the OQ protocol for traceability instead.</w:t>
      </w:r>
    </w:p>
    <w:p w:rsidR="009263AD" w:rsidRPr="0096438A" w:rsidP="00837D3D" w14:paraId="09F3A83B" w14:textId="77777777">
      <w:pPr>
        <w:pStyle w:val="Heading4"/>
      </w:pPr>
      <w:r w:rsidRPr="005D6279">
        <w:rPr>
          <w:b/>
          <w:bCs/>
        </w:rPr>
        <w:t>Build Parameters</w:t>
      </w:r>
      <w:r w:rsidRPr="0096438A">
        <w:t>. Details and background of the OQ runs including rationales are described for:</w:t>
      </w:r>
    </w:p>
    <w:p w:rsidR="009263AD" w:rsidRPr="0096438A" w:rsidP="00533D3E" w14:paraId="63898785" w14:textId="77777777">
      <w:pPr>
        <w:pStyle w:val="Normal5Indent"/>
        <w:numPr>
          <w:ilvl w:val="0"/>
          <w:numId w:val="16"/>
        </w:numPr>
        <w:ind w:left="1944"/>
      </w:pPr>
      <w:r w:rsidRPr="0096438A">
        <w:t>the number of samples that are manufactured/assembled/built for each OQ run.</w:t>
      </w:r>
    </w:p>
    <w:p w:rsidR="009263AD" w:rsidRPr="0096438A" w:rsidP="00837D3D" w14:paraId="2E20D9FA" w14:textId="77777777">
      <w:pPr>
        <w:pStyle w:val="Normal5Indent"/>
      </w:pPr>
      <w:r w:rsidRPr="0096438A">
        <w:t>the number of operators that will be used.</w:t>
      </w:r>
    </w:p>
    <w:p w:rsidR="009263AD" w:rsidRPr="0096438A" w:rsidP="00837D3D" w14:paraId="3D570B6F" w14:textId="77777777">
      <w:pPr>
        <w:pStyle w:val="Normal5Indent"/>
      </w:pPr>
      <w:r w:rsidRPr="0096438A">
        <w:t xml:space="preserve">the number of raw </w:t>
      </w:r>
      <w:r w:rsidRPr="0096438A">
        <w:t>material</w:t>
      </w:r>
      <w:r w:rsidRPr="0096438A">
        <w:t xml:space="preserve"> </w:t>
      </w:r>
      <w:r w:rsidRPr="0096438A">
        <w:t>lots</w:t>
      </w:r>
      <w:r w:rsidRPr="0096438A">
        <w:t xml:space="preserve"> or component lots that will be used.</w:t>
      </w:r>
    </w:p>
    <w:p w:rsidR="009263AD" w:rsidRPr="0096438A" w:rsidP="00837D3D" w14:paraId="4F5E8354" w14:textId="77777777">
      <w:pPr>
        <w:pStyle w:val="Normal5Indent"/>
      </w:pPr>
      <w:r w:rsidRPr="0096438A">
        <w:t xml:space="preserve">during which production shift the OQs will be built. </w:t>
      </w:r>
    </w:p>
    <w:p w:rsidR="009263AD" w:rsidRPr="0096438A" w:rsidP="005D6279" w14:paraId="77E11DD4" w14:textId="77777777">
      <w:pPr>
        <w:pStyle w:val="ListParagraph"/>
        <w:numPr>
          <w:ilvl w:val="0"/>
          <w:numId w:val="0"/>
        </w:numPr>
        <w:spacing w:after="120"/>
        <w:ind w:left="1584"/>
        <w:contextualSpacing w:val="0"/>
      </w:pPr>
      <w:r w:rsidRPr="0096438A">
        <w:t>It is acceptable to build OQ runs with one operator, one equipment, one material lot because worst-case conditions are challenged. Commercial production is not expected to run under these conditions. Sources of variation are challenged in the PQ.</w:t>
      </w:r>
    </w:p>
    <w:p w:rsidR="009263AD" w:rsidRPr="0096438A" w:rsidP="00837D3D" w14:paraId="165A99AD" w14:textId="77777777">
      <w:pPr>
        <w:pStyle w:val="Heading4"/>
      </w:pPr>
      <w:r w:rsidRPr="00D87CAF">
        <w:rPr>
          <w:b/>
          <w:bCs/>
        </w:rPr>
        <w:t>Build Execution.</w:t>
      </w:r>
      <w:r w:rsidRPr="0096438A">
        <w:t xml:space="preserve"> Describe the process conditions for each OQ run in this chapter. This should tell the process operators how to set up the equipment for each OQ and how many samples to build per OQ run. Work instructions should describe how to build the OQ samples. There may be some additional requirements for an OQ run which is not part of routine or commercial manufacturing. For instance, during commercial manufacturing, a machine may be cleaned once a week but for OQ it is decided to clean the machine before each OQ run. This would be a special build instruction, which needs to be documented in the protocol.</w:t>
      </w:r>
    </w:p>
    <w:p w:rsidR="009263AD" w:rsidRPr="003C7895" w:rsidP="00837D3D" w14:paraId="2CC634F3" w14:textId="77777777">
      <w:pPr>
        <w:pStyle w:val="Heading4"/>
        <w:rPr>
          <w:b/>
          <w:bCs/>
        </w:rPr>
      </w:pPr>
      <w:r w:rsidRPr="001523EC">
        <w:rPr>
          <w:b/>
          <w:bCs/>
        </w:rPr>
        <w:t>Sample Conditioning</w:t>
      </w:r>
      <w:r w:rsidRPr="0096438A">
        <w:t>. As</w:t>
      </w:r>
      <w:r>
        <w:t xml:space="preserve"> applicable, the samples may need to be conditioned per the specifications before they are tested. For instance, devices may need to be sterilized before they are tested.</w:t>
      </w:r>
    </w:p>
    <w:p w:rsidR="009263AD" w:rsidRPr="00C4608A" w:rsidP="00837D3D" w14:paraId="4AEA2378" w14:textId="77777777">
      <w:pPr>
        <w:pStyle w:val="Heading3"/>
        <w:rPr>
          <w:bCs/>
          <w:i/>
        </w:rPr>
      </w:pPr>
      <w:r w:rsidRPr="0056539D">
        <w:rPr>
          <w:b/>
          <w:bCs/>
        </w:rPr>
        <w:t>Inspection and Testing of OQ Samples</w:t>
      </w:r>
      <w:r w:rsidRPr="00C4608A">
        <w:t>. For each CQA, provide the information presented in this chapter.</w:t>
      </w:r>
    </w:p>
    <w:p w:rsidR="009263AD" w:rsidRPr="006A3367" w:rsidP="00837D3D" w14:paraId="56A08D35" w14:textId="4D30D7A2">
      <w:pPr>
        <w:pStyle w:val="Heading4"/>
        <w:rPr>
          <w:i/>
          <w:iCs/>
        </w:rPr>
      </w:pPr>
      <w:r w:rsidRPr="00213FA0">
        <w:rPr>
          <w:b/>
          <w:bCs/>
        </w:rPr>
        <w:t xml:space="preserve">Sample Size Rationale: </w:t>
      </w:r>
      <w:r w:rsidRPr="00C4608A">
        <w:t xml:space="preserve">A rationale for the number of test samples must be provided in the protocol.  The rationale must be based on valid statistical techniques. Sample size depends on the CQA classification (CTQ, CTS, KPI) and the associated Severity of Harm (SOH) or Severity of Effect (SOE). Criticality classification, SOH, and SOE must be provided by Philips. Refer to chapter </w:t>
      </w:r>
      <w:r w:rsidR="00367D12">
        <w:t>10</w:t>
      </w:r>
      <w:r w:rsidRPr="00C4608A">
        <w:t xml:space="preserve"> for a list of sampling plans that are based on valid statistical techniques</w:t>
      </w:r>
      <w:r w:rsidRPr="00C4608A">
        <w:rPr>
          <w:i/>
          <w:iCs/>
        </w:rPr>
        <w:t>.</w:t>
      </w:r>
    </w:p>
    <w:p w:rsidR="009263AD" w:rsidP="00837D3D" w14:paraId="6856079D" w14:textId="77777777">
      <w:pPr>
        <w:pStyle w:val="Heading4"/>
      </w:pPr>
      <w:r w:rsidRPr="00C4608A">
        <w:t>A sample size rationale in</w:t>
      </w:r>
      <w:r>
        <w:t xml:space="preserve"> a supplier’s protocol may be worded like the following:</w:t>
      </w:r>
    </w:p>
    <w:p w:rsidR="009263AD" w:rsidRPr="00CB66D3" w:rsidP="00837D3D" w14:paraId="476EF850" w14:textId="77777777">
      <w:pPr>
        <w:pStyle w:val="Heading4"/>
        <w:rPr>
          <w:i/>
          <w:iCs/>
        </w:rPr>
      </w:pPr>
      <w:r w:rsidRPr="00CB66D3">
        <w:t>Example for OQ protocol, attribute data, C</w:t>
      </w:r>
      <w:r>
        <w:t>T</w:t>
      </w:r>
      <w:r w:rsidRPr="00CB66D3">
        <w:t>S</w:t>
      </w:r>
      <w:r>
        <w:t>-S4</w:t>
      </w:r>
      <w:r w:rsidRPr="00CB66D3">
        <w:t>:</w:t>
      </w:r>
    </w:p>
    <w:p w:rsidR="009263AD" w:rsidP="00837D3D" w14:paraId="2DD8C99A" w14:textId="6E3E1F07">
      <w:pPr>
        <w:pStyle w:val="Heading4"/>
      </w:pPr>
      <w:bookmarkStart w:id="55" w:name="_Hlk166082863"/>
      <w:r>
        <w:t>‘‘</w:t>
      </w:r>
      <w:r w:rsidRPr="00AD325B">
        <w:t>Sampling plans will be used to make</w:t>
      </w:r>
      <w:r>
        <w:t xml:space="preserve"> a</w:t>
      </w:r>
      <w:r w:rsidRPr="00AD325B">
        <w:t xml:space="preserve"> pass/fail decision for each requirement. The proposed sampling plan </w:t>
      </w:r>
      <w:r>
        <w:t>is provided by</w:t>
      </w:r>
      <w:r w:rsidRPr="00AD325B">
        <w:t xml:space="preserve"> Philips Healthcare in</w:t>
      </w:r>
      <w:r>
        <w:t xml:space="preserve"> the signed SRPQP (Document Reference) </w:t>
      </w:r>
      <w:r w:rsidRPr="00AD325B">
        <w:t xml:space="preserve">For </w:t>
      </w:r>
      <w:r>
        <w:t>a CQA with classification CTS and SOH S4, an attribute</w:t>
      </w:r>
      <w:r w:rsidRPr="00AD325B">
        <w:t xml:space="preserve"> sampling plan is selected that provides 95% confidence that at least </w:t>
      </w:r>
      <w:r>
        <w:t>95</w:t>
      </w:r>
      <w:r w:rsidRPr="00AD325B">
        <w:t>% o</w:t>
      </w:r>
      <w:r>
        <w:t>f products</w:t>
      </w:r>
      <w:r w:rsidRPr="00AD325B">
        <w:t xml:space="preserve"> </w:t>
      </w:r>
      <w:r>
        <w:t xml:space="preserve">conform to </w:t>
      </w:r>
      <w:r w:rsidRPr="005B3D6F">
        <w:t xml:space="preserve">requirements at </w:t>
      </w:r>
      <w:r>
        <w:t>all anticipated conditions of manufacturing (worst-case)</w:t>
      </w:r>
      <w:r w:rsidRPr="00AD325B">
        <w:t>. A sampling plan with n=</w:t>
      </w:r>
      <w:r>
        <w:t>59</w:t>
      </w:r>
      <w:r w:rsidRPr="00AD325B">
        <w:t xml:space="preserve"> and c=0 meets this requirement whereas n=number of samples to be tested and c=</w:t>
      </w:r>
      <w:r>
        <w:t xml:space="preserve">maximum </w:t>
      </w:r>
      <w:r w:rsidRPr="00AD325B">
        <w:t>number of failures allowed.</w:t>
      </w:r>
      <w:r>
        <w:t xml:space="preserve"> 59 samples will be collected for testing from each OQ run.”</w:t>
      </w:r>
      <w:r w:rsidRPr="00AD325B">
        <w:t xml:space="preserve">  </w:t>
      </w:r>
      <w:bookmarkEnd w:id="55"/>
    </w:p>
    <w:p w:rsidR="009263AD" w:rsidRPr="00A1215F" w:rsidP="00837D3D" w14:paraId="70BAD8A2" w14:textId="77777777">
      <w:pPr>
        <w:pStyle w:val="Heading4"/>
      </w:pPr>
      <w:r w:rsidRPr="00A1215F">
        <w:t xml:space="preserve">Example for </w:t>
      </w:r>
      <w:r>
        <w:t>O</w:t>
      </w:r>
      <w:r w:rsidRPr="00A1215F">
        <w:t>Q protocol</w:t>
      </w:r>
      <w:r>
        <w:t>, variable data with two-sided specification, CTS-S4</w:t>
      </w:r>
      <w:r w:rsidRPr="00A1215F">
        <w:t>:</w:t>
      </w:r>
    </w:p>
    <w:p w:rsidR="009263AD" w:rsidP="00837D3D" w14:paraId="4B15A7D3" w14:textId="77777777">
      <w:pPr>
        <w:pStyle w:val="Heading4"/>
      </w:pPr>
      <w:r>
        <w:t>‘‘</w:t>
      </w:r>
      <w:r w:rsidRPr="00AD325B">
        <w:t xml:space="preserve">Sampling plans will be used to make </w:t>
      </w:r>
      <w:r>
        <w:t xml:space="preserve">a </w:t>
      </w:r>
      <w:r w:rsidRPr="00AD325B">
        <w:t xml:space="preserve">pass/fail decision for each requirement. The proposed sampling plan </w:t>
      </w:r>
      <w:r>
        <w:t>is provided by</w:t>
      </w:r>
      <w:r w:rsidRPr="00AD325B">
        <w:t xml:space="preserve"> Philips Healthcare in</w:t>
      </w:r>
      <w:r>
        <w:t xml:space="preserve"> the signed SRPQP (Document Reference). For a CQA with classification CTS and SOH S4, a</w:t>
      </w:r>
      <w:r w:rsidRPr="00AD325B">
        <w:t xml:space="preserve"> </w:t>
      </w:r>
      <w:r>
        <w:t>variable</w:t>
      </w:r>
      <w:r w:rsidRPr="00AD325B">
        <w:t xml:space="preserve"> sampling plan is selected that provides 95% confidence that at least </w:t>
      </w:r>
      <w:r>
        <w:t>95</w:t>
      </w:r>
      <w:r w:rsidRPr="00AD325B">
        <w:t xml:space="preserve">% of </w:t>
      </w:r>
      <w:r>
        <w:t>products conform to</w:t>
      </w:r>
      <w:r w:rsidRPr="00AD325B">
        <w:t xml:space="preserve"> </w:t>
      </w:r>
      <w:r w:rsidRPr="00DC5748">
        <w:t>requirements at all anticipated conditions of manufacturing (worst-case)</w:t>
      </w:r>
      <w:r>
        <w:t xml:space="preserve">. A sampling plan for a two-sided specification with n=15 and RQL = 5% is selected. 15 samples will be collected for testing from each OQ run. The sampling plan will accept the OQ run if the calculated Ppk of the 15 samples is equal to or greater than 0.87 and if the calculated Pp of the 15 samples is equal to or greater than 0.91. Data will be tested for normality before analysis. </w:t>
      </w:r>
      <w:bookmarkStart w:id="56" w:name="_Hlk174266305"/>
      <w:r>
        <w:t>If the normality test fails, a suitable distribution will be determined for the analysis, or data may be converted to attribute data.</w:t>
      </w:r>
      <w:bookmarkEnd w:id="56"/>
      <w:r>
        <w:t>”</w:t>
      </w:r>
    </w:p>
    <w:p w:rsidR="009263AD" w:rsidRPr="00C146C4" w:rsidP="00837D3D" w14:paraId="20258AA2" w14:textId="77777777">
      <w:pPr>
        <w:pStyle w:val="Heading4"/>
        <w:rPr>
          <w:b/>
          <w:bCs/>
        </w:rPr>
      </w:pPr>
      <w:r w:rsidRPr="00E674EE">
        <w:rPr>
          <w:b/>
          <w:bCs/>
        </w:rPr>
        <w:t>Sample collection strategy.</w:t>
      </w:r>
      <w:r w:rsidRPr="00C4608A">
        <w:t xml:space="preserve"> The</w:t>
      </w:r>
      <w:r>
        <w:t xml:space="preserve"> protocol describes how test samples are collected during or after the sample builds. Some but not all sampling strategies are:</w:t>
      </w:r>
    </w:p>
    <w:p w:rsidR="009263AD" w:rsidRPr="00837D3D" w:rsidP="00533D3E" w14:paraId="5B4431E8" w14:textId="77777777">
      <w:pPr>
        <w:pStyle w:val="Normal5Indent"/>
        <w:numPr>
          <w:ilvl w:val="0"/>
          <w:numId w:val="17"/>
        </w:numPr>
        <w:ind w:left="1944"/>
        <w:rPr>
          <w:b/>
          <w:bCs/>
        </w:rPr>
      </w:pPr>
      <w:r w:rsidRPr="00837D3D">
        <w:rPr>
          <w:i/>
          <w:iCs/>
        </w:rPr>
        <w:t>Random selection</w:t>
      </w:r>
      <w:r>
        <w:t xml:space="preserve"> of test samples during manufacturing or from the finished OQ run. This is only recommended for attribute data.  For variable data, this sample collection approach</w:t>
      </w:r>
      <w:r>
        <w:t xml:space="preserve"> </w:t>
      </w:r>
      <w:r>
        <w:t>does not provide an adequate picture of process behavior from beginning to end of the OQ run.</w:t>
      </w:r>
    </w:p>
    <w:p w:rsidR="009263AD" w:rsidRPr="008D0AEF" w:rsidP="00837D3D" w14:paraId="623B6EF1" w14:textId="77777777">
      <w:pPr>
        <w:pStyle w:val="Normal5Indent"/>
        <w:rPr>
          <w:b/>
          <w:bCs/>
        </w:rPr>
      </w:pPr>
      <w:r w:rsidRPr="008D0AEF">
        <w:rPr>
          <w:i/>
          <w:iCs/>
        </w:rPr>
        <w:t>Periodic sampling</w:t>
      </w:r>
      <w:r>
        <w:t xml:space="preserve"> where every n</w:t>
      </w:r>
      <w:r w:rsidRPr="008D0AEF">
        <w:rPr>
          <w:vertAlign w:val="superscript"/>
        </w:rPr>
        <w:t xml:space="preserve">th </w:t>
      </w:r>
      <w:r>
        <w:t xml:space="preserve">unit is selected. For instance, if 30 samples are made per OQ run, and 15 test samples are required, one could collect every </w:t>
      </w:r>
      <w:r w:rsidRPr="00527745">
        <w:t>2</w:t>
      </w:r>
      <w:r w:rsidRPr="008D0AEF">
        <w:rPr>
          <w:vertAlign w:val="superscript"/>
        </w:rPr>
        <w:t xml:space="preserve">nd </w:t>
      </w:r>
      <w:r>
        <w:t>unit.</w:t>
      </w:r>
    </w:p>
    <w:p w:rsidR="009263AD" w:rsidRPr="008D0AEF" w:rsidP="00837D3D" w14:paraId="1D1BEF57" w14:textId="77777777">
      <w:pPr>
        <w:pStyle w:val="Normal5Indent"/>
        <w:rPr>
          <w:b/>
          <w:bCs/>
        </w:rPr>
      </w:pPr>
      <w:r w:rsidRPr="008D0AEF">
        <w:rPr>
          <w:i/>
          <w:iCs/>
        </w:rPr>
        <w:t xml:space="preserve">Stratified sampling </w:t>
      </w:r>
      <w:r>
        <w:t>where an equal number of samples is selected from a subset of the manufactured OQ run. For example, 30 samples are made, and the samples are collected in 15 tote pans with 2 units per tote pan. One sample per tote pan is selected randomly to obtain 15 test samples per OQ run</w:t>
      </w:r>
      <w:r w:rsidRPr="00C902C7">
        <w:t>.</w:t>
      </w:r>
    </w:p>
    <w:p w:rsidR="009263AD" w:rsidP="00E674EE" w14:paraId="53B9A3A3" w14:textId="77777777">
      <w:pPr>
        <w:spacing w:after="120"/>
        <w:ind w:left="1584"/>
      </w:pPr>
      <w:bookmarkStart w:id="57" w:name="_Hlk167179966"/>
      <w:r w:rsidRPr="00AB5647">
        <w:t>If multiple products are produced simultaneously</w:t>
      </w:r>
      <w:r>
        <w:t>,</w:t>
      </w:r>
      <w:r w:rsidRPr="00AB5647">
        <w:t xml:space="preserve"> for instance in a multi-cavity mold for injection molding, product from </w:t>
      </w:r>
      <w:r>
        <w:t>each</w:t>
      </w:r>
      <w:r w:rsidRPr="00AB5647">
        <w:t xml:space="preserve"> cavit</w:t>
      </w:r>
      <w:r>
        <w:t>y should be measured to provide objective evidence that products are equivalent regardless of cavity.  Alternatively, equivalence can be established and demonstrated during process characterization. If cavities are shown to be equivalent, random samples from all cavities can be collected for OQ.</w:t>
      </w:r>
      <w:bookmarkEnd w:id="57"/>
    </w:p>
    <w:p w:rsidR="009263AD" w:rsidRPr="003C7895" w:rsidP="00E674EE" w14:paraId="13C7858D" w14:textId="77777777">
      <w:pPr>
        <w:spacing w:after="120"/>
        <w:ind w:left="1584"/>
      </w:pPr>
      <w:r>
        <w:t>Collected samples must be identified for traceability and stored in an orderly fashion. This step is crucial especially if there is a need to reinspect samples.</w:t>
      </w:r>
    </w:p>
    <w:p w:rsidR="009263AD" w:rsidRPr="00274F7A" w:rsidP="00837D3D" w14:paraId="685B23D3" w14:textId="77777777">
      <w:pPr>
        <w:pStyle w:val="Heading4"/>
        <w:rPr>
          <w:b/>
          <w:bCs/>
        </w:rPr>
      </w:pPr>
      <w:r w:rsidRPr="00E674EE">
        <w:rPr>
          <w:b/>
          <w:bCs/>
        </w:rPr>
        <w:t>Test Plan.</w:t>
      </w:r>
      <w:r w:rsidRPr="00C4608A">
        <w:t xml:space="preserve"> Describe</w:t>
      </w:r>
      <w:r>
        <w:t xml:space="preserve"> the test plan. Test samples may be used for more than one test or inspection. For instance, samples could be visually inspected, then measured, and after that destructively tested. The protocol should detail the test sequence and provide a rationale for why it is acceptable to use the same samples for multiple tests. </w:t>
      </w:r>
    </w:p>
    <w:p w:rsidR="009263AD" w:rsidRPr="00837D3D" w:rsidP="00533D3E" w14:paraId="0B7A38F0" w14:textId="77777777">
      <w:pPr>
        <w:pStyle w:val="Normal5Indent"/>
        <w:numPr>
          <w:ilvl w:val="0"/>
          <w:numId w:val="18"/>
        </w:numPr>
        <w:ind w:left="1944"/>
        <w:rPr>
          <w:b/>
          <w:bCs/>
        </w:rPr>
      </w:pPr>
      <w:r>
        <w:t xml:space="preserve">Each inspection/measurement/test is described in detail. This includes documenting a work instruction for executing the test or alternatively describing the test procedure in the OQ protocol itself. </w:t>
      </w:r>
    </w:p>
    <w:p w:rsidR="009263AD" w:rsidRPr="00181B2C" w:rsidP="00837D3D" w14:paraId="6AE6F626" w14:textId="77777777">
      <w:pPr>
        <w:pStyle w:val="Normal5Indent"/>
        <w:rPr>
          <w:b/>
          <w:bCs/>
        </w:rPr>
      </w:pPr>
      <w:r>
        <w:t>All measurements and tests must have evidence of test method validation before the OQ protocol execution begins.</w:t>
      </w:r>
    </w:p>
    <w:p w:rsidR="009263AD" w:rsidRPr="00C52136" w:rsidP="00837D3D" w14:paraId="397DFB07" w14:textId="77777777">
      <w:pPr>
        <w:pStyle w:val="Normal5Indent"/>
        <w:rPr>
          <w:b/>
          <w:bCs/>
        </w:rPr>
      </w:pPr>
      <w:r>
        <w:t>All measurement equipment used for testing OQ samples must be qualified.</w:t>
      </w:r>
    </w:p>
    <w:p w:rsidR="009263AD" w:rsidRPr="00B52F0A" w:rsidP="00837D3D" w14:paraId="311412B0" w14:textId="77777777">
      <w:pPr>
        <w:pStyle w:val="Heading3"/>
        <w:rPr>
          <w:b/>
        </w:rPr>
      </w:pPr>
      <w:r w:rsidRPr="004C01FF">
        <w:rPr>
          <w:b/>
          <w:bCs/>
        </w:rPr>
        <w:t>Data Analysis</w:t>
      </w:r>
      <w:r w:rsidRPr="00C4608A">
        <w:t>. The data</w:t>
      </w:r>
      <w:r>
        <w:t xml:space="preserve"> analysis method is documented in the protocol. </w:t>
      </w:r>
    </w:p>
    <w:p w:rsidR="009263AD" w:rsidRPr="00A57ADE" w:rsidP="00837D3D" w14:paraId="6A1DA6ED" w14:textId="77777777">
      <w:pPr>
        <w:pStyle w:val="Heading4"/>
        <w:rPr>
          <w:b/>
          <w:bCs/>
        </w:rPr>
      </w:pPr>
      <w:r>
        <w:t xml:space="preserve">Attribute data does not require an analysis. The number of test failures are counted, and if the number of failures is equal or smaller than what the sampling plan allows, the study passes. Otherwise, the study fails. </w:t>
      </w:r>
      <w:bookmarkStart w:id="58" w:name="_Hlk187692497"/>
      <w:r>
        <w:t>The default sampling plans in this guideline for OQ allow 0 failures. Therefore, even one failure results in a failing OQ.</w:t>
      </w:r>
      <w:bookmarkEnd w:id="58"/>
    </w:p>
    <w:p w:rsidR="009263AD" w:rsidRPr="00A57ADE" w:rsidP="00837D3D" w14:paraId="0E99CCC2" w14:textId="5F6B103D">
      <w:pPr>
        <w:pStyle w:val="Heading4"/>
        <w:rPr>
          <w:b/>
          <w:bCs/>
        </w:rPr>
      </w:pPr>
      <w:bookmarkStart w:id="59" w:name="_Hlk170290866"/>
      <w:r>
        <w:t>Variable sampling plans require that data follow the normal distribution. Therefore, data must be tested for normality before the analysis continues. Ppk and Pp values may only be calculated if data is normal. If the normality test fails, the reason for nonnormality must be investigated. Refer to chapter 1</w:t>
      </w:r>
      <w:r w:rsidR="0085357E">
        <w:t>3</w:t>
      </w:r>
      <w:r>
        <w:t xml:space="preserve"> for guidance on testing normality with Minitab software,</w:t>
      </w:r>
    </w:p>
    <w:bookmarkEnd w:id="59"/>
    <w:p w:rsidR="009263AD" w:rsidRPr="00854C21" w:rsidP="00837D3D" w14:paraId="3D50EF37" w14:textId="3D9B022A">
      <w:pPr>
        <w:pStyle w:val="Heading4"/>
        <w:rPr>
          <w:b/>
          <w:bCs/>
        </w:rPr>
      </w:pPr>
      <w:r>
        <w:t xml:space="preserve">If the normality test passes, calculate sample mean and sample standard deviation, and follow the calculations presented in chapter </w:t>
      </w:r>
      <w:r w:rsidR="00367D12">
        <w:t>11</w:t>
      </w:r>
      <w:r>
        <w:t xml:space="preserve"> for each sampling plan. Compare the calculated </w:t>
      </w:r>
      <w:r w:rsidRPr="00DC0980">
        <w:t>P</w:t>
      </w:r>
      <w:r>
        <w:t xml:space="preserve">pk </w:t>
      </w:r>
      <w:r w:rsidRPr="00DC0980">
        <w:t>and</w:t>
      </w:r>
      <w:r>
        <w:t xml:space="preserve"> P</w:t>
      </w:r>
      <w:r w:rsidRPr="00DC0980">
        <w:t>p</w:t>
      </w:r>
      <w:r>
        <w:t xml:space="preserve"> values to the sampling plan’s criteria. If the calculated Ppk/Pp values are equal to or greater than the sampling plan’s criteria, the requirement for the process output is met.</w:t>
      </w:r>
    </w:p>
    <w:p w:rsidR="009263AD" w:rsidRPr="00C4608A" w:rsidP="00837D3D" w14:paraId="64F5E86B" w14:textId="77777777">
      <w:pPr>
        <w:pStyle w:val="Heading3"/>
        <w:rPr>
          <w:bCs/>
        </w:rPr>
      </w:pPr>
      <w:r w:rsidRPr="00F72302">
        <w:rPr>
          <w:b/>
          <w:bCs/>
        </w:rPr>
        <w:t>Disposition of Materials</w:t>
      </w:r>
      <w:r w:rsidRPr="00C4608A">
        <w:t>: Describe how the materials that are used to build OQ samples and the OQ samples are dispositioned. OQ samples are typically not released for commercial sales.</w:t>
      </w:r>
    </w:p>
    <w:p w:rsidR="009263AD" w:rsidRPr="00C4608A" w:rsidP="00837D3D" w14:paraId="48E25019" w14:textId="77777777">
      <w:pPr>
        <w:pStyle w:val="Heading3"/>
        <w:rPr>
          <w:bCs/>
        </w:rPr>
      </w:pPr>
      <w:r w:rsidRPr="0093167F">
        <w:rPr>
          <w:b/>
          <w:bCs/>
        </w:rPr>
        <w:t>Disposition of Deviations</w:t>
      </w:r>
      <w:r w:rsidRPr="00C4608A">
        <w:t xml:space="preserve"> (report only). Each deviation from the protocol must be addressed in the report. A rationale is provided for each deviation explaining why the deviation is acceptable. If the deviation is not acceptable, the OQ study fails.</w:t>
      </w:r>
    </w:p>
    <w:p w:rsidR="009263AD" w:rsidRPr="00C4608A" w:rsidP="00837D3D" w14:paraId="2D27B942" w14:textId="77777777">
      <w:pPr>
        <w:pStyle w:val="Heading3"/>
        <w:rPr>
          <w:bCs/>
        </w:rPr>
      </w:pPr>
      <w:r w:rsidRPr="00513510">
        <w:rPr>
          <w:b/>
          <w:bCs/>
        </w:rPr>
        <w:t>Conclusion</w:t>
      </w:r>
      <w:r w:rsidRPr="00C4608A">
        <w:t xml:space="preserve"> (report only). The conclusion is provided in the OQ report. Conclusion is either pass or fail. The OQ study fails if one or more deviations are not accepted or if any of the </w:t>
      </w:r>
      <w:r w:rsidRPr="00C4608A">
        <w:t>acceptance criteria or requirements are not met. Every OQ test must meet the respective acceptance criteria.</w:t>
      </w:r>
    </w:p>
    <w:p w:rsidR="009263AD" w:rsidRPr="00A3330F" w:rsidP="00837D3D" w14:paraId="67FADB36" w14:textId="74AEA2E9">
      <w:pPr>
        <w:pStyle w:val="Heading3"/>
      </w:pPr>
      <w:r w:rsidRPr="00C4608A">
        <w:t>Confidence and Reliability Statement. The</w:t>
      </w:r>
      <w:r>
        <w:t xml:space="preserve"> OQ report must include a Confidence and Reliability Statement.  An example of such a statement is shown in chapter </w:t>
      </w:r>
      <w:r w:rsidR="00367D12">
        <w:t>10.5</w:t>
      </w:r>
      <w:r>
        <w:t>.</w:t>
      </w:r>
    </w:p>
    <w:p w:rsidR="0079527E" w:rsidP="00A61F37" w14:paraId="67E65D22" w14:textId="77777777">
      <w:pPr>
        <w:pStyle w:val="Heading1"/>
      </w:pPr>
      <w:bookmarkStart w:id="60" w:name="_Toc165541805"/>
      <w:bookmarkStart w:id="61" w:name="_Toc166687344"/>
      <w:bookmarkStart w:id="62" w:name="_Toc188651142"/>
      <w:bookmarkStart w:id="63" w:name="_Toc256000027"/>
      <w:r w:rsidRPr="005D6E81">
        <w:t>Performance Qualification</w:t>
      </w:r>
      <w:bookmarkEnd w:id="60"/>
      <w:r>
        <w:t xml:space="preserve"> (PQ)</w:t>
      </w:r>
      <w:bookmarkEnd w:id="63"/>
      <w:bookmarkEnd w:id="61"/>
      <w:bookmarkEnd w:id="62"/>
    </w:p>
    <w:p w:rsidR="0079527E" w:rsidP="0079527E" w14:paraId="0B8FD1AC" w14:textId="77777777">
      <w:bookmarkStart w:id="64" w:name="_Toc165541806"/>
      <w:r>
        <w:t>PQ is the final stage of process validation. T</w:t>
      </w:r>
      <w:r w:rsidRPr="00D4080C">
        <w:t>he GHTF guidance</w:t>
      </w:r>
      <w:r>
        <w:t xml:space="preserve"> [Ref-1] defines P</w:t>
      </w:r>
      <w:r w:rsidRPr="00D4080C">
        <w:t xml:space="preserve">Q </w:t>
      </w:r>
      <w:r>
        <w:t xml:space="preserve">as </w:t>
      </w:r>
      <w:r w:rsidRPr="00D654B3">
        <w:t>establishing by objective evidence that the process, under anticipated conditions, consistently produces a product which meets all predetermined requirements</w:t>
      </w:r>
      <w:r>
        <w:t xml:space="preserve">. </w:t>
      </w:r>
    </w:p>
    <w:p w:rsidR="0079527E" w:rsidP="0079527E" w14:paraId="276B71AD" w14:textId="77777777">
      <w:pPr>
        <w:rPr>
          <w:b/>
          <w:bCs/>
        </w:rPr>
      </w:pPr>
    </w:p>
    <w:p w:rsidR="0079527E" w:rsidP="0079527E" w14:paraId="5FF4CA8B" w14:textId="77777777">
      <w:r w:rsidRPr="00D4080C">
        <w:t>The MDSAP audit approach</w:t>
      </w:r>
      <w:r>
        <w:t xml:space="preserve"> [Ref-3]</w:t>
      </w:r>
      <w:r w:rsidRPr="00D4080C">
        <w:t xml:space="preserve"> states that </w:t>
      </w:r>
      <w:r>
        <w:t>data are required to demonstrates that predetermined specifications were met consistently. This involves running multiple PQ runs.</w:t>
      </w:r>
    </w:p>
    <w:p w:rsidR="0079527E" w:rsidP="0079527E" w14:paraId="4D0B2863" w14:textId="77777777"/>
    <w:p w:rsidR="0079527E" w:rsidP="0079527E" w14:paraId="40193B67" w14:textId="77777777">
      <w:pPr>
        <w:spacing w:after="60"/>
      </w:pPr>
      <w:r>
        <w:t>Data collected during the PQ study must demonstrate not only that the PQ runs are meeting requirements</w:t>
      </w:r>
      <w:r>
        <w:t xml:space="preserve"> </w:t>
      </w:r>
      <w:r>
        <w:t>but also that all future production runs</w:t>
      </w:r>
      <w:r>
        <w:t xml:space="preserve"> </w:t>
      </w:r>
      <w:r>
        <w:t>will meet requirements. This requires that PQ runs are executed to represent future production runs. To do so</w:t>
      </w:r>
      <w:r>
        <w:t>, t</w:t>
      </w:r>
      <w:r>
        <w:t>he PQ runs must simulate the range of conditions that will be encountered during routine manufacturing. The range of conditions may include but is not limited to:</w:t>
      </w:r>
    </w:p>
    <w:p w:rsidR="0079527E" w:rsidP="00853B2E" w14:paraId="2308A54D" w14:textId="77777777">
      <w:pPr>
        <w:pStyle w:val="ListParagraph"/>
        <w:numPr>
          <w:ilvl w:val="0"/>
          <w:numId w:val="8"/>
        </w:numPr>
      </w:pPr>
      <w:r>
        <w:t>Variation between different raw material and part/component/subassembly batches.</w:t>
      </w:r>
    </w:p>
    <w:p w:rsidR="0079527E" w:rsidP="00853B2E" w14:paraId="1DBA4E5F" w14:textId="77777777">
      <w:pPr>
        <w:pStyle w:val="ListParagraph"/>
        <w:numPr>
          <w:ilvl w:val="0"/>
          <w:numId w:val="8"/>
        </w:numPr>
      </w:pPr>
      <w:r>
        <w:t>Variation between production shifts.</w:t>
      </w:r>
    </w:p>
    <w:p w:rsidR="0079527E" w:rsidP="00853B2E" w14:paraId="0F5D4C5C" w14:textId="77777777">
      <w:pPr>
        <w:pStyle w:val="ListParagraph"/>
        <w:numPr>
          <w:ilvl w:val="0"/>
          <w:numId w:val="8"/>
        </w:numPr>
      </w:pPr>
      <w:r>
        <w:t xml:space="preserve">Variation between (duplicate) equipment, </w:t>
      </w:r>
      <w:r>
        <w:t>t</w:t>
      </w:r>
      <w:r>
        <w:t>ooling, and fixtures.</w:t>
      </w:r>
    </w:p>
    <w:p w:rsidR="0079527E" w:rsidP="00853B2E" w14:paraId="09472198" w14:textId="77777777">
      <w:pPr>
        <w:pStyle w:val="ListParagraph"/>
        <w:numPr>
          <w:ilvl w:val="0"/>
          <w:numId w:val="8"/>
        </w:numPr>
      </w:pPr>
      <w:r>
        <w:t>Variation from equipment setups and changeovers.</w:t>
      </w:r>
    </w:p>
    <w:p w:rsidR="0079527E" w:rsidP="00853B2E" w14:paraId="08E0723A" w14:textId="77777777">
      <w:pPr>
        <w:pStyle w:val="ListParagraph"/>
        <w:numPr>
          <w:ilvl w:val="0"/>
          <w:numId w:val="8"/>
        </w:numPr>
      </w:pPr>
      <w:r>
        <w:t>Variation between process operators (due to varying sill levels and aptitudes).</w:t>
      </w:r>
    </w:p>
    <w:p w:rsidR="0079527E" w:rsidP="00853B2E" w14:paraId="258AE2C7" w14:textId="77777777">
      <w:pPr>
        <w:pStyle w:val="ListParagraph"/>
        <w:numPr>
          <w:ilvl w:val="0"/>
          <w:numId w:val="8"/>
        </w:numPr>
      </w:pPr>
      <w:r>
        <w:t>Variations in environmental conditions (e.g., lighting, ambient temperature, humidity), etc.</w:t>
      </w:r>
    </w:p>
    <w:p w:rsidR="0079527E" w:rsidP="00C4608A" w14:paraId="5C2ABF9D" w14:textId="77777777">
      <w:pPr>
        <w:pStyle w:val="ListParagraph"/>
        <w:numPr>
          <w:ilvl w:val="0"/>
          <w:numId w:val="0"/>
        </w:numPr>
        <w:ind w:left="1296"/>
      </w:pPr>
    </w:p>
    <w:p w:rsidR="0079527E" w:rsidP="0079527E" w14:paraId="6F05C346" w14:textId="77777777">
      <w:r w:rsidRPr="000E6001">
        <w:t>The PQ runs should confirm the documented and approved range of conditions defined by the various control limits and action levels established during OQ. The process outputs should be consistent, and the process should be predictable regardless of the manufacturing condition.</w:t>
      </w:r>
    </w:p>
    <w:p w:rsidR="0079527E" w:rsidP="00EE1EA6" w14:paraId="4B213B15" w14:textId="2A1AC200">
      <w:pPr>
        <w:pStyle w:val="Heading2"/>
      </w:pPr>
      <w:bookmarkStart w:id="65" w:name="_Toc188651143"/>
      <w:bookmarkStart w:id="66" w:name="_Toc256000028"/>
      <w:r>
        <w:t>Nominal Setpoint versus Normal Operating Range</w:t>
      </w:r>
      <w:bookmarkEnd w:id="66"/>
      <w:bookmarkEnd w:id="65"/>
    </w:p>
    <w:p w:rsidR="0079527E" w:rsidP="00566B44" w14:paraId="54E468C6" w14:textId="77777777">
      <w:r>
        <w:t>Some critical process parameters run at nominal setpoints while others operate at a range. A range may be required for one critical process input to compensate for the variation of another critical process input. Some examples are discussed below.</w:t>
      </w:r>
    </w:p>
    <w:p w:rsidR="0079527E" w:rsidP="00566B44" w14:paraId="59944D18" w14:textId="77777777"/>
    <w:p w:rsidR="0079527E" w:rsidP="00566B44" w14:paraId="295E7167" w14:textId="77777777">
      <w:r>
        <w:t>A critical process parameter operating at a set point means that the process parameter always runs at the same setpoint, and the process operator is not allowed to adjust the parameter during the run or from one run to the next. All PQ runs are executed at the respective setpoint. Although the parameter runs at a setpoint the displayed value may vary due to common cause variation. For instance, the temperature may be set to 90°C and the display may vary from 88°C to 92°C.  The variation around the setpoint must be within the qualified operating range (OQ limits) of the process parameter.</w:t>
      </w:r>
    </w:p>
    <w:p w:rsidR="0079527E" w:rsidP="00566B44" w14:paraId="27315489" w14:textId="77777777"/>
    <w:p w:rsidR="0079527E" w:rsidP="00566B44" w14:paraId="2A84D6A0" w14:textId="77777777">
      <w:r>
        <w:t xml:space="preserve">A critical process parameter operating at a range means that the process parameter is adjusted before or during a run within a qualified range.  For example, the seal temperature in a sterile packaging process may require an adjustment within a qualified range to compensate for varying material thickness of the packaging material. During set up, the thickness of the packaging material is measured, and the appropriate temperature is used. The relationship between material thickness and seal temperature is established and confirmed during process characterization. </w:t>
      </w:r>
    </w:p>
    <w:p w:rsidR="0079527E" w:rsidP="00EE1EA6" w14:paraId="452A7D35" w14:textId="32D24C87">
      <w:pPr>
        <w:pStyle w:val="Heading2"/>
      </w:pPr>
      <w:bookmarkStart w:id="67" w:name="_Toc166687345"/>
      <w:bookmarkStart w:id="68" w:name="_Toc188651144"/>
      <w:bookmarkStart w:id="69" w:name="_Toc256000029"/>
      <w:r>
        <w:t>Number of required PQ runs</w:t>
      </w:r>
      <w:bookmarkEnd w:id="69"/>
      <w:bookmarkEnd w:id="67"/>
      <w:bookmarkEnd w:id="68"/>
    </w:p>
    <w:p w:rsidR="000D4B7F" w:rsidP="00354D34" w14:paraId="0DEC02B8" w14:textId="77777777">
      <w:r w:rsidRPr="0053000A">
        <w:t>Enough PQ runs should be completed to ensure the anticipated conditions (sources of variation) are represented, the results are meaningful and consistent, and to demonstrate that the process is repeatable</w:t>
      </w:r>
      <w:r>
        <w:t xml:space="preserve"> and reproducible</w:t>
      </w:r>
      <w:r w:rsidRPr="0053000A">
        <w:t>.</w:t>
      </w:r>
      <w:r w:rsidRPr="003201E4">
        <w:t> </w:t>
      </w:r>
      <w:r w:rsidRPr="00181B2C">
        <w:t>Regardless of other conditions, at least 3 PQ runs should be completed.</w:t>
      </w:r>
      <w:r w:rsidRPr="003201E4">
        <w:t xml:space="preserve"> </w:t>
      </w:r>
    </w:p>
    <w:p w:rsidR="000D4B7F" w:rsidP="00354D34" w14:paraId="2E347422" w14:textId="77777777"/>
    <w:p w:rsidR="0079527E" w:rsidP="00354D34" w14:paraId="0A12463B" w14:textId="7787C243">
      <w:r w:rsidRPr="003201E4">
        <w:t>The requirement for 3 PQ runs is described in the GMP’s Preamble [Ref-5], Federal Register. Vol. 61,</w:t>
      </w:r>
      <w:r>
        <w:t xml:space="preserve"> No 195, page 52621</w:t>
      </w:r>
      <w:r>
        <w:rPr>
          <w:noProof/>
          <w14:ligatures w14:val="standardContextual"/>
        </w:rPr>
        <w:t xml:space="preserve"> where the following statement is made:</w:t>
      </w:r>
    </w:p>
    <w:p w:rsidR="0079527E" w:rsidRPr="00C23FBE" w:rsidP="00354D34" w14:paraId="7A1CEF17" w14:textId="77777777">
      <w:pPr>
        <w:rPr>
          <w:i/>
          <w:iCs/>
        </w:rPr>
      </w:pPr>
      <w:r w:rsidRPr="00C23FBE">
        <w:rPr>
          <w:i/>
          <w:iCs/>
        </w:rPr>
        <w:t>The requirement for testing from the first three production lots or batches has been deleted. While FDA believes that three production runs during process validation (process validation may be initiated before or during design transfer) is the accepted standard, FDA recognizes</w:t>
      </w:r>
      <w:r>
        <w:rPr>
          <w:i/>
          <w:iCs/>
        </w:rPr>
        <w:t xml:space="preserve"> </w:t>
      </w:r>
      <w:r w:rsidRPr="00C23FBE">
        <w:rPr>
          <w:i/>
          <w:iCs/>
        </w:rPr>
        <w:t>that all processes may not be defined in terms of lots or batches</w:t>
      </w:r>
      <w:r w:rsidRPr="003201E4">
        <w:rPr>
          <w:i/>
          <w:iCs/>
        </w:rPr>
        <w:t xml:space="preserve">. </w:t>
      </w:r>
      <w:r w:rsidRPr="00181B2C">
        <w:rPr>
          <w:i/>
          <w:iCs/>
        </w:rPr>
        <w:t>The number three is, however, currently considered to be the acceptable standard.</w:t>
      </w:r>
      <w:r w:rsidRPr="003201E4">
        <w:rPr>
          <w:i/>
          <w:iCs/>
        </w:rPr>
        <w:t xml:space="preserve"> Therefore, al</w:t>
      </w:r>
      <w:r w:rsidRPr="00C23FBE">
        <w:rPr>
          <w:i/>
          <w:iCs/>
        </w:rPr>
        <w:t>though the number requirement is deleted, FDA expects validation to be carried out properly in accordance with accepted standards and will inspect for compliance accordingly.</w:t>
      </w:r>
    </w:p>
    <w:p w:rsidR="0079527E" w:rsidP="00354D34" w14:paraId="430D4542" w14:textId="77777777"/>
    <w:p w:rsidR="0079527E" w:rsidRPr="00E85C88" w:rsidP="00354D34" w14:paraId="6F26D136" w14:textId="77777777">
      <w:pPr>
        <w:rPr>
          <w:color w:val="0070C0"/>
        </w:rPr>
      </w:pPr>
      <w:r>
        <w:t xml:space="preserve">The PQ study is planned to include multiple operators, multiple batches of raw materials or components as applicable, multiple equipment as applicable, multiple shifts, etc. distributed over </w:t>
      </w:r>
      <w:r w:rsidRPr="00BD1987">
        <w:rPr>
          <w:color w:val="000000" w:themeColor="text1"/>
        </w:rPr>
        <w:t xml:space="preserve">the PQ runs. </w:t>
      </w:r>
      <w:r>
        <w:rPr>
          <w:color w:val="000000" w:themeColor="text1"/>
        </w:rPr>
        <w:t xml:space="preserve">When multiple, duplicate equipment is used, at least one PQ run per piece of equipment should be completed. </w:t>
      </w:r>
      <w:r w:rsidRPr="00BD1987">
        <w:rPr>
          <w:color w:val="000000" w:themeColor="text1"/>
        </w:rPr>
        <w:t>Note: This is not a repeat of the designed experiments during process characterization. Different equipment, operators, and material lots are assigned randomly to each PQ run. PQ is a confirmation of already established process conditions.</w:t>
      </w:r>
    </w:p>
    <w:p w:rsidR="0079527E" w:rsidP="007C5BE0" w14:paraId="3F34F576" w14:textId="77777777">
      <w:pPr>
        <w:ind w:left="360"/>
      </w:pPr>
    </w:p>
    <w:p w:rsidR="0079527E" w:rsidP="000E7724" w14:paraId="6DB9789F" w14:textId="77777777">
      <w:r>
        <w:t>It is an expectation of CDRH that a rationale for the number of PQ runs is included in the PQ protocol.</w:t>
      </w:r>
    </w:p>
    <w:p w:rsidR="0079527E" w:rsidP="00EE1EA6" w14:paraId="7F5553E9" w14:textId="3F9A8ECF">
      <w:pPr>
        <w:pStyle w:val="Heading2"/>
      </w:pPr>
      <w:bookmarkStart w:id="70" w:name="_Toc166687346"/>
      <w:bookmarkStart w:id="71" w:name="_Toc188651145"/>
      <w:bookmarkStart w:id="72" w:name="_Hlk167193004"/>
      <w:bookmarkStart w:id="73" w:name="_Toc256000030"/>
      <w:r>
        <w:t>Number of manufactured samples</w:t>
      </w:r>
      <w:bookmarkEnd w:id="73"/>
      <w:bookmarkEnd w:id="70"/>
      <w:bookmarkEnd w:id="71"/>
    </w:p>
    <w:bookmarkEnd w:id="72"/>
    <w:p w:rsidR="0079527E" w:rsidP="000E7724" w14:paraId="0780FE12" w14:textId="77777777">
      <w:r>
        <w:t>Valid statistical techniques require that collected samples are representative of the population (future manufactured product). It is therefore required to manufacture enough samples during a PQ run to capture the common cause variation one would expect during routine production. Only then will the test samples be representative of future products. One method to achieve this is by running a typical manufacturing lot size for each PQ run. If that is not feasible, PQ runs may be shorter than a typical manufacturing lot, if the common cause variation of the process is captured.</w:t>
      </w:r>
    </w:p>
    <w:p w:rsidR="0079527E" w:rsidP="000E7724" w14:paraId="7A9FA5B8" w14:textId="77777777"/>
    <w:p w:rsidR="0079527E" w:rsidP="000E7724" w14:paraId="59A571FD" w14:textId="77777777">
      <w:r>
        <w:t xml:space="preserve">Highly manual processes for instance may be shortened unless operator fatigue is challenged during PQ. </w:t>
      </w:r>
      <w:bookmarkStart w:id="74" w:name="_Hlk169261187"/>
      <w:r>
        <w:t>A rationale for the number of manufactured samples must be documented in the PQ protocol.</w:t>
      </w:r>
      <w:bookmarkEnd w:id="74"/>
    </w:p>
    <w:p w:rsidR="0079527E" w:rsidP="00EE1EA6" w14:paraId="3B12D159" w14:textId="10C6E808">
      <w:pPr>
        <w:pStyle w:val="Heading2"/>
      </w:pPr>
      <w:bookmarkStart w:id="75" w:name="_Toc166687348"/>
      <w:bookmarkStart w:id="76" w:name="_Toc188651146"/>
      <w:bookmarkStart w:id="77" w:name="_Toc256000031"/>
      <w:r>
        <w:t xml:space="preserve">PQ </w:t>
      </w:r>
      <w:r>
        <w:t>Prerequisites</w:t>
      </w:r>
      <w:bookmarkEnd w:id="77"/>
      <w:bookmarkEnd w:id="75"/>
      <w:bookmarkEnd w:id="76"/>
    </w:p>
    <w:p w:rsidR="0079527E" w:rsidP="00724283" w14:paraId="5BF62663" w14:textId="77777777">
      <w:r>
        <w:t>The following activities need to be completed before the PQ protocol is executed.</w:t>
      </w:r>
    </w:p>
    <w:p w:rsidR="0079527E" w:rsidP="00837D3D" w14:paraId="0D2B82C1" w14:textId="77777777">
      <w:pPr>
        <w:pStyle w:val="Heading3"/>
      </w:pPr>
      <w:r>
        <w:t>Equipment, tools, and fixtures that are used for building PQ samples must be production equivalent and must have an approved installation qualification report.</w:t>
      </w:r>
    </w:p>
    <w:p w:rsidR="0079527E" w:rsidRPr="001870B4" w:rsidP="00837D3D" w14:paraId="5943D0F9" w14:textId="77777777">
      <w:pPr>
        <w:pStyle w:val="Heading3"/>
      </w:pPr>
      <w:r w:rsidRPr="001870B4">
        <w:t xml:space="preserve">The materials used for the build (raw material, parts, sub-assemblies) must </w:t>
      </w:r>
      <w:r>
        <w:t>be qualified.</w:t>
      </w:r>
    </w:p>
    <w:p w:rsidR="0079527E" w:rsidP="00837D3D" w14:paraId="19B4B667" w14:textId="77777777">
      <w:pPr>
        <w:pStyle w:val="Heading3"/>
      </w:pPr>
      <w:r>
        <w:t>TMV reports must be approved for all tests, inspections, and measurements executed as part of the PQ study.</w:t>
      </w:r>
    </w:p>
    <w:p w:rsidR="0079527E" w:rsidP="00837D3D" w14:paraId="44C64E02" w14:textId="77777777">
      <w:pPr>
        <w:pStyle w:val="Heading3"/>
      </w:pPr>
      <w:r>
        <w:t>Software validation must be completed for all custom software.</w:t>
      </w:r>
    </w:p>
    <w:p w:rsidR="0079527E" w:rsidP="00837D3D" w14:paraId="06AB6C3C" w14:textId="091EDA23">
      <w:pPr>
        <w:pStyle w:val="Heading3"/>
      </w:pPr>
      <w:r>
        <w:t>The initial risk assessment portion of the Process FMEA is complete and approved</w:t>
      </w:r>
      <w:r>
        <w:t xml:space="preserve">. </w:t>
      </w:r>
      <w:r w:rsidRPr="00936E73">
        <w:t>Severity levels for quality and safety product characteristics are established</w:t>
      </w:r>
      <w:r>
        <w:t xml:space="preserve"> and have been communicated by Philips</w:t>
      </w:r>
      <w:r w:rsidRPr="00936E73">
        <w:t>.</w:t>
      </w:r>
    </w:p>
    <w:p w:rsidR="0079527E" w:rsidP="00837D3D" w14:paraId="7963F48A" w14:textId="77777777">
      <w:pPr>
        <w:pStyle w:val="Heading3"/>
      </w:pPr>
      <w:r>
        <w:t>The process operators, technicians, inspectors, and engineers participating in the execution of the PQ are trained to the PQ protocol and all associated work instructions and procedures.</w:t>
      </w:r>
    </w:p>
    <w:p w:rsidR="0079527E" w:rsidP="00837D3D" w14:paraId="0AA93B8F" w14:textId="77777777">
      <w:pPr>
        <w:pStyle w:val="Heading3"/>
      </w:pPr>
      <w:r>
        <w:t>The process operators are qualified to perform the actual manufacturing process.  As applicable, process operators and inspectors are certified.</w:t>
      </w:r>
    </w:p>
    <w:p w:rsidR="0079527E" w:rsidP="00837D3D" w14:paraId="195EA64F" w14:textId="77777777">
      <w:pPr>
        <w:pStyle w:val="Heading3"/>
      </w:pPr>
      <w:r>
        <w:t>OQ Report: some companies require that the OQ report is approved before PQ commences, other companies allow the OQ and PQ to run in parallel. Both options are acceptable. The supplier is to follow their internal procedure.</w:t>
      </w:r>
    </w:p>
    <w:p w:rsidR="0079527E" w:rsidP="00837D3D" w14:paraId="5F1ED181" w14:textId="3611FC34">
      <w:pPr>
        <w:pStyle w:val="Heading3"/>
      </w:pPr>
      <w:r>
        <w:t>The Device Manufacturing Record (DMR)</w:t>
      </w:r>
      <w:r w:rsidR="00700EF1">
        <w:t xml:space="preserve"> or </w:t>
      </w:r>
      <w:r w:rsidR="00421BC4">
        <w:t>Medical Device File (MDF)</w:t>
      </w:r>
      <w:r>
        <w:t xml:space="preserve"> is approved including work and inspection instructions </w:t>
      </w:r>
      <w:r w:rsidRPr="0052665E">
        <w:t xml:space="preserve">(may include redlines approved </w:t>
      </w:r>
      <w:r>
        <w:t>as PQ protocol attachment).</w:t>
      </w:r>
    </w:p>
    <w:p w:rsidR="0079527E" w:rsidP="00837D3D" w14:paraId="3C583388" w14:textId="77777777">
      <w:pPr>
        <w:pStyle w:val="Heading3"/>
      </w:pPr>
      <w:r>
        <w:t>PQ builds are not started until the PQ protocol is approved.</w:t>
      </w:r>
    </w:p>
    <w:p w:rsidR="0079527E" w:rsidP="00837D3D" w14:paraId="1EBDB0F0" w14:textId="77777777">
      <w:pPr>
        <w:pStyle w:val="Heading3"/>
      </w:pPr>
      <w:r>
        <w:t>The manufacturing control plan has been approved.</w:t>
      </w:r>
    </w:p>
    <w:p w:rsidR="0079527E" w:rsidRPr="0000447A" w:rsidP="00EE1EA6" w14:paraId="6E39BA6E" w14:textId="27A576F1">
      <w:pPr>
        <w:pStyle w:val="Heading2"/>
      </w:pPr>
      <w:bookmarkStart w:id="78" w:name="_Toc166687349"/>
      <w:bookmarkStart w:id="79" w:name="_Toc188651147"/>
      <w:bookmarkStart w:id="80" w:name="_Toc256000032"/>
      <w:r>
        <w:t>Protocol</w:t>
      </w:r>
      <w:bookmarkEnd w:id="80"/>
      <w:bookmarkEnd w:id="78"/>
      <w:bookmarkEnd w:id="79"/>
    </w:p>
    <w:p w:rsidR="0079527E" w:rsidRPr="005D6E81" w:rsidP="003E2DA2" w14:paraId="37B20699" w14:textId="77777777">
      <w:r>
        <w:t>The following elements should be included in the PQ protocol.</w:t>
      </w:r>
    </w:p>
    <w:p w:rsidR="0079527E" w:rsidRPr="00467303" w:rsidP="00837D3D" w14:paraId="43B3E024" w14:textId="77777777">
      <w:pPr>
        <w:pStyle w:val="Heading3"/>
        <w:rPr>
          <w:bCs/>
        </w:rPr>
      </w:pPr>
      <w:r w:rsidRPr="003E2DA2">
        <w:rPr>
          <w:b/>
          <w:bCs/>
        </w:rPr>
        <w:t>Purpose</w:t>
      </w:r>
      <w:r w:rsidRPr="00467303">
        <w:t>. The following is an example of a PQ purpose statement:</w:t>
      </w:r>
    </w:p>
    <w:p w:rsidR="0079527E" w:rsidRPr="00467303" w:rsidP="00F01DD2" w14:paraId="66AAA6A2" w14:textId="77777777">
      <w:pPr>
        <w:pStyle w:val="ListParagraph"/>
        <w:numPr>
          <w:ilvl w:val="0"/>
          <w:numId w:val="0"/>
        </w:numPr>
        <w:spacing w:after="120"/>
        <w:ind w:left="720"/>
        <w:rPr>
          <w:i/>
          <w:iCs/>
        </w:rPr>
      </w:pPr>
      <w:r w:rsidRPr="00467303">
        <w:rPr>
          <w:i/>
          <w:iCs/>
        </w:rPr>
        <w:t>The purpose of this Performance Qualification (PQ) is to demonstrate by objective evidence that the XXX process under normal conditions of manufacturing consistently produces products that meet all pre-determined requirements.</w:t>
      </w:r>
    </w:p>
    <w:p w:rsidR="0079527E" w:rsidRPr="00467303" w:rsidP="00837D3D" w14:paraId="3BC781B9" w14:textId="77777777">
      <w:pPr>
        <w:pStyle w:val="Heading3"/>
        <w:rPr>
          <w:bCs/>
        </w:rPr>
      </w:pPr>
      <w:r w:rsidRPr="00C114AA">
        <w:rPr>
          <w:b/>
          <w:bCs/>
        </w:rPr>
        <w:t>Scope</w:t>
      </w:r>
      <w:r w:rsidRPr="00467303">
        <w:t>. Provides details on what is covered in the specific PQ including but not limited to</w:t>
      </w:r>
    </w:p>
    <w:p w:rsidR="0079527E" w:rsidRPr="00467303" w:rsidP="00837D3D" w14:paraId="6FC86D1F" w14:textId="77777777">
      <w:pPr>
        <w:pStyle w:val="Heading4"/>
      </w:pPr>
      <w:r w:rsidRPr="00467303">
        <w:t>Location of the process being validated.</w:t>
      </w:r>
    </w:p>
    <w:p w:rsidR="0079527E" w:rsidRPr="00467303" w:rsidP="00837D3D" w14:paraId="770F3312" w14:textId="77777777">
      <w:pPr>
        <w:pStyle w:val="Heading4"/>
      </w:pPr>
      <w:r w:rsidRPr="00467303">
        <w:t>Part, sub-assembly, or product/system (10NC / 12NC / 6NC) that is made with the process to be validated.</w:t>
      </w:r>
    </w:p>
    <w:p w:rsidR="0079527E" w:rsidRPr="00467303" w:rsidP="00837D3D" w14:paraId="1D2740A3" w14:textId="77777777">
      <w:pPr>
        <w:pStyle w:val="Heading4"/>
      </w:pPr>
      <w:r w:rsidRPr="00467303">
        <w:t>Manufacturing process name or ID.</w:t>
      </w:r>
    </w:p>
    <w:p w:rsidR="0079527E" w:rsidRPr="00467303" w:rsidP="00837D3D" w14:paraId="05E773E0" w14:textId="77777777">
      <w:pPr>
        <w:pStyle w:val="Heading3"/>
        <w:rPr>
          <w:bCs/>
        </w:rPr>
      </w:pPr>
      <w:r w:rsidRPr="00C114AA">
        <w:rPr>
          <w:b/>
          <w:bCs/>
        </w:rPr>
        <w:t>Acronyms and Definitions</w:t>
      </w:r>
      <w:r w:rsidRPr="00467303">
        <w:t>. All acronyms and process specific terminology should be defined in this section.</w:t>
      </w:r>
    </w:p>
    <w:p w:rsidR="0079527E" w:rsidRPr="00467303" w:rsidP="00837D3D" w14:paraId="1B5516DE" w14:textId="77777777">
      <w:pPr>
        <w:pStyle w:val="Heading3"/>
        <w:rPr>
          <w:bCs/>
        </w:rPr>
      </w:pPr>
      <w:r w:rsidRPr="00C114AA">
        <w:rPr>
          <w:b/>
          <w:bCs/>
        </w:rPr>
        <w:t>Responsibilities</w:t>
      </w:r>
      <w:r w:rsidRPr="00467303">
        <w:t>. This section is optional. It describes the responsibilities for the PQ study. Note: Employee names or ID numbers are not listed in this chapter.</w:t>
      </w:r>
    </w:p>
    <w:p w:rsidR="0079527E" w:rsidRPr="00467303" w:rsidP="00837D3D" w14:paraId="2A5B08DC" w14:textId="77777777">
      <w:pPr>
        <w:pStyle w:val="Heading3"/>
        <w:rPr>
          <w:bCs/>
        </w:rPr>
      </w:pPr>
      <w:r w:rsidRPr="00C114AA">
        <w:rPr>
          <w:b/>
          <w:bCs/>
        </w:rPr>
        <w:t>Background</w:t>
      </w:r>
      <w:r w:rsidRPr="00467303">
        <w:t>. This section is optional but highly recommended. It explains to the unfamiliar reader what the PQ is about. It can be used to provide a brief description of the product being made and the process being validated. A summary can be provided to explain how the significant process inputs were determined, how their set points, operating limits, and action levels were established during process characterization. The supplier and its relationship with Philips can also be described here.</w:t>
      </w:r>
    </w:p>
    <w:p w:rsidR="0079527E" w:rsidRPr="00467303" w:rsidP="00837D3D" w14:paraId="016F9AF8" w14:textId="77777777">
      <w:pPr>
        <w:pStyle w:val="Heading3"/>
        <w:rPr>
          <w:bCs/>
        </w:rPr>
      </w:pPr>
      <w:r w:rsidRPr="00C114AA">
        <w:rPr>
          <w:b/>
          <w:bCs/>
        </w:rPr>
        <w:t>Protocol Training and Defect Awareness Training for Validation</w:t>
      </w:r>
      <w:r w:rsidRPr="00467303">
        <w:t xml:space="preserve">. All personnel executing any part of the PQ protocol must be trained prior to the execution to the protocol and required work instructions. </w:t>
      </w:r>
      <w:r w:rsidRPr="00467303">
        <w:t>T</w:t>
      </w:r>
      <w:r w:rsidRPr="00467303">
        <w:t>raining records must be established and attached to the PQ report. Operator qualification and certification: Process operators building the PQ samples should be the same operators who will build the product during commercial manufacturing. The process operators must be qualified and if required certified before the PQ commences. For example, welding operators should be certified to an ISO standard. In that case, only certified operators may perform the welding of PQ samples.</w:t>
      </w:r>
    </w:p>
    <w:p w:rsidR="0079527E" w:rsidRPr="00467303" w:rsidP="00837D3D" w14:paraId="3198D4AA" w14:textId="77777777">
      <w:pPr>
        <w:pStyle w:val="Heading3"/>
        <w:rPr>
          <w:bCs/>
        </w:rPr>
      </w:pPr>
      <w:r w:rsidRPr="00C114AA">
        <w:rPr>
          <w:b/>
          <w:bCs/>
        </w:rPr>
        <w:t>Deviations from the Protocol</w:t>
      </w:r>
      <w:r w:rsidRPr="00467303">
        <w:t xml:space="preserve">. When deviations from the protocol occur during execution, the protocol must be redlined and signed for approval by designated individuals before </w:t>
      </w:r>
      <w:r w:rsidRPr="00467303">
        <w:t>continuing with the execution. A rationale must be provided with the redline. If a deviation is not discovered until the data is being analyzed, a rationale must be provided in the PQ report why the deviation is acceptable.</w:t>
      </w:r>
    </w:p>
    <w:p w:rsidR="0079527E" w:rsidRPr="00467303" w:rsidP="00837D3D" w14:paraId="4F235CEB" w14:textId="77777777">
      <w:pPr>
        <w:pStyle w:val="Heading4"/>
      </w:pPr>
      <w:r w:rsidRPr="00467303">
        <w:t>An acceptable deviation is an administrative deviation where an inspector uses an outdated form but collects all required data.</w:t>
      </w:r>
    </w:p>
    <w:p w:rsidR="0079527E" w:rsidRPr="00467303" w:rsidP="00837D3D" w14:paraId="1AB07C93" w14:textId="77777777">
      <w:pPr>
        <w:pStyle w:val="Heading4"/>
      </w:pPr>
      <w:r w:rsidRPr="00467303">
        <w:t>An example of an unacceptable deviation is when the inspector used different measurement/test method than specified in the protocol to inspect PQ samples.</w:t>
      </w:r>
    </w:p>
    <w:p w:rsidR="0079527E" w:rsidRPr="00533D3E" w:rsidP="00837D3D" w14:paraId="7FA7E36C" w14:textId="77777777">
      <w:pPr>
        <w:pStyle w:val="Heading3"/>
        <w:rPr>
          <w:b/>
          <w:bCs/>
        </w:rPr>
      </w:pPr>
      <w:r w:rsidRPr="00533D3E">
        <w:rPr>
          <w:b/>
          <w:bCs/>
        </w:rPr>
        <w:t>Process Conditions</w:t>
      </w:r>
    </w:p>
    <w:p w:rsidR="0079527E" w:rsidRPr="00181B2C" w:rsidP="00C114AA" w14:paraId="66CCA623" w14:textId="77777777">
      <w:pPr>
        <w:rPr>
          <w:b/>
          <w:bCs/>
        </w:rPr>
      </w:pPr>
      <w:r w:rsidRPr="001523EC">
        <w:rPr>
          <w:b/>
          <w:bCs/>
        </w:rPr>
        <w:t>Critical Quality Attributes (CQAs).</w:t>
      </w:r>
      <w:r w:rsidRPr="00467303">
        <w:t xml:space="preserve"> Describe the critical quality attributes that are tested with the PQ. The table below shows an example</w:t>
      </w:r>
      <w:r>
        <w:t xml:space="preserve"> of the information to be included.</w:t>
      </w:r>
    </w:p>
    <w:p w:rsidR="0079527E" w:rsidRPr="00181B2C" w:rsidP="0079527E" w14:paraId="47DD231F" w14:textId="607A26FD">
      <w:pPr>
        <w:rPr>
          <w:sz w:val="20"/>
          <w:szCs w:val="18"/>
        </w:rPr>
      </w:pPr>
    </w:p>
    <w:tbl>
      <w:tblPr>
        <w:tblStyle w:val="TableGrid"/>
        <w:tblW w:w="9072" w:type="dxa"/>
        <w:tblLayout w:type="fixed"/>
        <w:tblLook w:val="04A0"/>
      </w:tblPr>
      <w:tblGrid>
        <w:gridCol w:w="805"/>
        <w:gridCol w:w="1260"/>
        <w:gridCol w:w="1080"/>
        <w:gridCol w:w="1260"/>
        <w:gridCol w:w="990"/>
        <w:gridCol w:w="1170"/>
        <w:gridCol w:w="1170"/>
        <w:gridCol w:w="1337"/>
      </w:tblGrid>
      <w:tr w14:paraId="38233217" w14:textId="77777777" w:rsidTr="005C08EE">
        <w:tblPrEx>
          <w:tblW w:w="9072" w:type="dxa"/>
          <w:tblLayout w:type="fixed"/>
          <w:tblLook w:val="04A0"/>
        </w:tblPrEx>
        <w:tc>
          <w:tcPr>
            <w:tcW w:w="805" w:type="dxa"/>
            <w:shd w:val="clear" w:color="auto" w:fill="C1E5FF" w:themeFill="accent1" w:themeFillTint="33"/>
          </w:tcPr>
          <w:p w:rsidR="0079527E" w:rsidRPr="0031555A" w:rsidP="005C08EE" w14:paraId="099924DF" w14:textId="77777777">
            <w:pPr>
              <w:pStyle w:val="ListParagraph"/>
              <w:ind w:left="0"/>
              <w:rPr>
                <w:rFonts w:cstheme="minorHAnsi"/>
                <w:sz w:val="18"/>
                <w:szCs w:val="18"/>
              </w:rPr>
            </w:pPr>
            <w:r>
              <w:rPr>
                <w:rFonts w:cstheme="minorHAnsi"/>
                <w:sz w:val="18"/>
                <w:szCs w:val="18"/>
              </w:rPr>
              <w:t>CQA</w:t>
            </w:r>
          </w:p>
        </w:tc>
        <w:tc>
          <w:tcPr>
            <w:tcW w:w="1260" w:type="dxa"/>
            <w:shd w:val="clear" w:color="auto" w:fill="C1E5FF" w:themeFill="accent1" w:themeFillTint="33"/>
          </w:tcPr>
          <w:p w:rsidR="0079527E" w:rsidRPr="0031555A" w:rsidP="005C08EE" w14:paraId="532832DC" w14:textId="77777777">
            <w:pPr>
              <w:pStyle w:val="ListParagraph"/>
              <w:ind w:left="0"/>
              <w:rPr>
                <w:rFonts w:cstheme="minorHAnsi"/>
                <w:sz w:val="18"/>
                <w:szCs w:val="18"/>
              </w:rPr>
            </w:pPr>
            <w:r>
              <w:rPr>
                <w:rFonts w:cstheme="minorHAnsi"/>
                <w:sz w:val="18"/>
                <w:szCs w:val="18"/>
              </w:rPr>
              <w:t>Specification</w:t>
            </w:r>
          </w:p>
        </w:tc>
        <w:tc>
          <w:tcPr>
            <w:tcW w:w="1080" w:type="dxa"/>
            <w:shd w:val="clear" w:color="auto" w:fill="C1E5FF" w:themeFill="accent1" w:themeFillTint="33"/>
          </w:tcPr>
          <w:p w:rsidR="0079527E" w:rsidRPr="0031555A" w:rsidP="005C08EE" w14:paraId="4834166F" w14:textId="77777777">
            <w:pPr>
              <w:pStyle w:val="ListParagraph"/>
              <w:ind w:left="0"/>
              <w:rPr>
                <w:rFonts w:cstheme="minorHAnsi"/>
                <w:sz w:val="18"/>
                <w:szCs w:val="18"/>
              </w:rPr>
            </w:pPr>
            <w:r w:rsidRPr="0031555A">
              <w:rPr>
                <w:rFonts w:cstheme="minorHAnsi"/>
                <w:sz w:val="18"/>
                <w:szCs w:val="18"/>
              </w:rPr>
              <w:t>Source</w:t>
            </w:r>
          </w:p>
        </w:tc>
        <w:tc>
          <w:tcPr>
            <w:tcW w:w="1260" w:type="dxa"/>
            <w:shd w:val="clear" w:color="auto" w:fill="C1E5FF" w:themeFill="accent1" w:themeFillTint="33"/>
          </w:tcPr>
          <w:p w:rsidR="0079527E" w:rsidP="005C08EE" w14:paraId="114D8B7A" w14:textId="77777777">
            <w:pPr>
              <w:pStyle w:val="ListParagraph"/>
              <w:ind w:left="0"/>
              <w:rPr>
                <w:rFonts w:cstheme="minorHAnsi"/>
                <w:sz w:val="18"/>
                <w:szCs w:val="18"/>
              </w:rPr>
            </w:pPr>
            <w:r>
              <w:rPr>
                <w:rFonts w:cstheme="minorHAnsi"/>
                <w:sz w:val="18"/>
                <w:szCs w:val="18"/>
              </w:rPr>
              <w:t>Classification/</w:t>
            </w:r>
          </w:p>
          <w:p w:rsidR="0079527E" w:rsidRPr="0031555A" w:rsidP="005C08EE" w14:paraId="66EC710E" w14:textId="77777777">
            <w:pPr>
              <w:pStyle w:val="ListParagraph"/>
              <w:ind w:left="0"/>
              <w:rPr>
                <w:rFonts w:cstheme="minorHAnsi"/>
                <w:sz w:val="18"/>
                <w:szCs w:val="18"/>
              </w:rPr>
            </w:pPr>
            <w:r>
              <w:rPr>
                <w:rFonts w:cstheme="minorHAnsi"/>
                <w:sz w:val="18"/>
                <w:szCs w:val="18"/>
              </w:rPr>
              <w:t>Severity</w:t>
            </w:r>
            <w:r>
              <w:rPr>
                <w:rFonts w:cstheme="minorHAnsi"/>
                <w:sz w:val="18"/>
                <w:szCs w:val="18"/>
                <w:vertAlign w:val="superscript"/>
              </w:rPr>
              <w:t xml:space="preserve"> [1]</w:t>
            </w:r>
          </w:p>
        </w:tc>
        <w:tc>
          <w:tcPr>
            <w:tcW w:w="990" w:type="dxa"/>
            <w:shd w:val="clear" w:color="auto" w:fill="C1E5FF" w:themeFill="accent1" w:themeFillTint="33"/>
          </w:tcPr>
          <w:p w:rsidR="0079527E" w:rsidRPr="0031555A" w:rsidP="005C08EE" w14:paraId="17BA0699" w14:textId="77777777">
            <w:pPr>
              <w:pStyle w:val="ListParagraph"/>
              <w:ind w:left="0"/>
              <w:rPr>
                <w:rFonts w:cstheme="minorHAnsi"/>
                <w:sz w:val="18"/>
                <w:szCs w:val="18"/>
              </w:rPr>
            </w:pPr>
            <w:r w:rsidRPr="0031555A">
              <w:rPr>
                <w:rFonts w:cstheme="minorHAnsi"/>
                <w:sz w:val="18"/>
                <w:szCs w:val="18"/>
              </w:rPr>
              <w:t>Data Type</w:t>
            </w:r>
          </w:p>
        </w:tc>
        <w:tc>
          <w:tcPr>
            <w:tcW w:w="1170" w:type="dxa"/>
            <w:shd w:val="clear" w:color="auto" w:fill="C1E5FF" w:themeFill="accent1" w:themeFillTint="33"/>
          </w:tcPr>
          <w:p w:rsidR="0079527E" w:rsidRPr="0031555A" w:rsidP="005C08EE" w14:paraId="569BCD42" w14:textId="77777777">
            <w:pPr>
              <w:pStyle w:val="ListParagraph"/>
              <w:ind w:left="0"/>
              <w:rPr>
                <w:rFonts w:cstheme="minorHAnsi"/>
                <w:sz w:val="18"/>
                <w:szCs w:val="18"/>
              </w:rPr>
            </w:pPr>
            <w:r w:rsidRPr="0031555A">
              <w:rPr>
                <w:rFonts w:cstheme="minorHAnsi"/>
                <w:sz w:val="18"/>
                <w:szCs w:val="18"/>
              </w:rPr>
              <w:t>Confidence/</w:t>
            </w:r>
          </w:p>
          <w:p w:rsidR="0079527E" w:rsidRPr="004F651A" w:rsidP="005C08EE" w14:paraId="321E473A" w14:textId="77777777">
            <w:pPr>
              <w:pStyle w:val="ListParagraph"/>
              <w:ind w:left="0"/>
              <w:rPr>
                <w:rFonts w:cstheme="minorHAnsi"/>
                <w:sz w:val="18"/>
                <w:szCs w:val="18"/>
                <w:vertAlign w:val="superscript"/>
              </w:rPr>
            </w:pPr>
            <w:r w:rsidRPr="0031555A">
              <w:rPr>
                <w:rFonts w:cstheme="minorHAnsi"/>
                <w:sz w:val="18"/>
                <w:szCs w:val="18"/>
              </w:rPr>
              <w:t>Reliability</w:t>
            </w:r>
            <w:r>
              <w:rPr>
                <w:rFonts w:cstheme="minorHAnsi"/>
                <w:sz w:val="18"/>
                <w:szCs w:val="18"/>
                <w:vertAlign w:val="superscript"/>
              </w:rPr>
              <w:t xml:space="preserve"> [1]</w:t>
            </w:r>
          </w:p>
        </w:tc>
        <w:tc>
          <w:tcPr>
            <w:tcW w:w="1170" w:type="dxa"/>
            <w:shd w:val="clear" w:color="auto" w:fill="C1E5FF" w:themeFill="accent1" w:themeFillTint="33"/>
          </w:tcPr>
          <w:p w:rsidR="0079527E" w:rsidRPr="0031555A" w:rsidP="005C08EE" w14:paraId="4E9F4546" w14:textId="77777777">
            <w:pPr>
              <w:pStyle w:val="ListParagraph"/>
              <w:ind w:left="0"/>
              <w:rPr>
                <w:rFonts w:cstheme="minorHAnsi"/>
                <w:sz w:val="18"/>
                <w:szCs w:val="18"/>
              </w:rPr>
            </w:pPr>
            <w:r>
              <w:rPr>
                <w:rFonts w:cstheme="minorHAnsi"/>
                <w:sz w:val="18"/>
                <w:szCs w:val="18"/>
              </w:rPr>
              <w:t>Sample Size</w:t>
            </w:r>
          </w:p>
        </w:tc>
        <w:tc>
          <w:tcPr>
            <w:tcW w:w="1337" w:type="dxa"/>
            <w:shd w:val="clear" w:color="auto" w:fill="C1E5FF" w:themeFill="accent1" w:themeFillTint="33"/>
          </w:tcPr>
          <w:p w:rsidR="0079527E" w:rsidRPr="0031555A" w:rsidP="005C08EE" w14:paraId="4F317A07" w14:textId="77777777">
            <w:pPr>
              <w:pStyle w:val="ListParagraph"/>
              <w:ind w:left="0"/>
              <w:rPr>
                <w:rFonts w:cstheme="minorHAnsi"/>
                <w:sz w:val="18"/>
                <w:szCs w:val="18"/>
              </w:rPr>
            </w:pPr>
            <w:r w:rsidRPr="0031555A">
              <w:rPr>
                <w:rFonts w:cstheme="minorHAnsi"/>
                <w:sz w:val="18"/>
                <w:szCs w:val="18"/>
              </w:rPr>
              <w:t>Measurement Method</w:t>
            </w:r>
          </w:p>
        </w:tc>
      </w:tr>
      <w:tr w14:paraId="45577F7F" w14:textId="77777777" w:rsidTr="005C08EE">
        <w:tblPrEx>
          <w:tblW w:w="9072" w:type="dxa"/>
          <w:tblLayout w:type="fixed"/>
          <w:tblLook w:val="04A0"/>
        </w:tblPrEx>
        <w:tc>
          <w:tcPr>
            <w:tcW w:w="805" w:type="dxa"/>
          </w:tcPr>
          <w:p w:rsidR="0079527E" w:rsidRPr="0031555A" w:rsidP="005C08EE" w14:paraId="39456423"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Length</w:t>
            </w:r>
          </w:p>
        </w:tc>
        <w:tc>
          <w:tcPr>
            <w:tcW w:w="1260" w:type="dxa"/>
          </w:tcPr>
          <w:p w:rsidR="0079527E" w:rsidRPr="0031555A" w:rsidP="005C08EE" w14:paraId="361F6D01"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100mm ± 2mm</w:t>
            </w:r>
          </w:p>
        </w:tc>
        <w:tc>
          <w:tcPr>
            <w:tcW w:w="1080" w:type="dxa"/>
          </w:tcPr>
          <w:p w:rsidR="0079527E" w:rsidRPr="0031555A" w:rsidP="005C08EE" w14:paraId="6EA5947B"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Drawing XZY, Rev 2</w:t>
            </w:r>
          </w:p>
        </w:tc>
        <w:tc>
          <w:tcPr>
            <w:tcW w:w="1260" w:type="dxa"/>
          </w:tcPr>
          <w:p w:rsidR="0079527E" w:rsidRPr="004F651A" w:rsidP="005C08EE" w14:paraId="613E19B5" w14:textId="77777777">
            <w:pPr>
              <w:pStyle w:val="ListParagraph"/>
              <w:ind w:left="0"/>
              <w:rPr>
                <w:rFonts w:cstheme="minorHAnsi"/>
                <w:color w:val="000000" w:themeColor="text1"/>
                <w:sz w:val="18"/>
                <w:szCs w:val="18"/>
                <w:vertAlign w:val="superscript"/>
              </w:rPr>
            </w:pPr>
            <w:r w:rsidRPr="0031555A">
              <w:rPr>
                <w:rFonts w:cstheme="minorHAnsi"/>
                <w:color w:val="000000" w:themeColor="text1"/>
                <w:sz w:val="18"/>
                <w:szCs w:val="18"/>
              </w:rPr>
              <w:t>C</w:t>
            </w:r>
            <w:r>
              <w:rPr>
                <w:rFonts w:cstheme="minorHAnsi"/>
                <w:color w:val="000000" w:themeColor="text1"/>
                <w:sz w:val="18"/>
                <w:szCs w:val="18"/>
              </w:rPr>
              <w:t>T</w:t>
            </w:r>
            <w:r w:rsidRPr="0031555A">
              <w:rPr>
                <w:rFonts w:cstheme="minorHAnsi"/>
                <w:color w:val="000000" w:themeColor="text1"/>
                <w:sz w:val="18"/>
                <w:szCs w:val="18"/>
              </w:rPr>
              <w:t>Q</w:t>
            </w:r>
            <w:r>
              <w:rPr>
                <w:rFonts w:cstheme="minorHAnsi"/>
                <w:color w:val="000000" w:themeColor="text1"/>
                <w:sz w:val="18"/>
                <w:szCs w:val="18"/>
              </w:rPr>
              <w:t>-S1</w:t>
            </w:r>
          </w:p>
        </w:tc>
        <w:tc>
          <w:tcPr>
            <w:tcW w:w="990" w:type="dxa"/>
          </w:tcPr>
          <w:p w:rsidR="0079527E" w:rsidRPr="0031555A" w:rsidP="005C08EE" w14:paraId="266D2BAB"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Variable</w:t>
            </w:r>
          </w:p>
        </w:tc>
        <w:tc>
          <w:tcPr>
            <w:tcW w:w="1170" w:type="dxa"/>
          </w:tcPr>
          <w:p w:rsidR="0079527E" w:rsidRPr="0031555A" w:rsidP="005C08EE" w14:paraId="4530FCB6" w14:textId="77777777">
            <w:pPr>
              <w:pStyle w:val="ListParagraph"/>
              <w:ind w:left="0"/>
              <w:rPr>
                <w:rFonts w:cstheme="minorHAnsi"/>
                <w:color w:val="000000" w:themeColor="text1"/>
                <w:sz w:val="18"/>
                <w:szCs w:val="18"/>
              </w:rPr>
            </w:pPr>
            <w:r w:rsidRPr="0031555A">
              <w:rPr>
                <w:rFonts w:cstheme="minorHAnsi"/>
                <w:color w:val="000000" w:themeColor="text1"/>
                <w:sz w:val="18"/>
                <w:szCs w:val="18"/>
              </w:rPr>
              <w:t>95% C</w:t>
            </w:r>
          </w:p>
          <w:p w:rsidR="0079527E" w:rsidRPr="0031555A" w:rsidP="005C08EE" w14:paraId="035BB7CD" w14:textId="77777777">
            <w:pPr>
              <w:pStyle w:val="ListParagraph"/>
              <w:ind w:left="0"/>
              <w:rPr>
                <w:rFonts w:cstheme="minorHAnsi"/>
                <w:color w:val="000000" w:themeColor="text1"/>
                <w:sz w:val="18"/>
                <w:szCs w:val="18"/>
              </w:rPr>
            </w:pPr>
            <w:r>
              <w:rPr>
                <w:rFonts w:cstheme="minorHAnsi"/>
                <w:color w:val="000000" w:themeColor="text1"/>
                <w:sz w:val="18"/>
                <w:szCs w:val="18"/>
              </w:rPr>
              <w:t>90</w:t>
            </w:r>
            <w:r w:rsidRPr="0031555A">
              <w:rPr>
                <w:rFonts w:cstheme="minorHAnsi"/>
                <w:color w:val="000000" w:themeColor="text1"/>
                <w:sz w:val="18"/>
                <w:szCs w:val="18"/>
              </w:rPr>
              <w:t>% R</w:t>
            </w:r>
          </w:p>
        </w:tc>
        <w:tc>
          <w:tcPr>
            <w:tcW w:w="1170" w:type="dxa"/>
          </w:tcPr>
          <w:p w:rsidR="0079527E" w:rsidRPr="0031555A" w:rsidP="005C08EE" w14:paraId="70A6D33D" w14:textId="77777777">
            <w:pPr>
              <w:pStyle w:val="ListParagraph"/>
              <w:ind w:left="0"/>
              <w:rPr>
                <w:rFonts w:cstheme="minorHAnsi"/>
                <w:color w:val="000000" w:themeColor="text1"/>
                <w:sz w:val="18"/>
                <w:szCs w:val="18"/>
              </w:rPr>
            </w:pPr>
            <w:r>
              <w:rPr>
                <w:rFonts w:cstheme="minorHAnsi"/>
                <w:color w:val="000000" w:themeColor="text1"/>
                <w:sz w:val="18"/>
                <w:szCs w:val="18"/>
              </w:rPr>
              <w:t>15 per OQ run</w:t>
            </w:r>
          </w:p>
        </w:tc>
        <w:tc>
          <w:tcPr>
            <w:tcW w:w="1337" w:type="dxa"/>
          </w:tcPr>
          <w:p w:rsidR="0079527E" w:rsidRPr="0031555A" w:rsidP="00EF2AC8" w14:paraId="4B02CBF6" w14:textId="77777777">
            <w:pPr>
              <w:pStyle w:val="ListParagraph"/>
              <w:keepNext/>
              <w:ind w:left="0"/>
              <w:rPr>
                <w:rFonts w:cstheme="minorHAnsi"/>
                <w:color w:val="000000" w:themeColor="text1"/>
                <w:sz w:val="18"/>
                <w:szCs w:val="18"/>
              </w:rPr>
            </w:pPr>
            <w:r w:rsidRPr="0031555A">
              <w:rPr>
                <w:rFonts w:cstheme="minorHAnsi"/>
                <w:color w:val="000000" w:themeColor="text1"/>
                <w:sz w:val="18"/>
                <w:szCs w:val="18"/>
              </w:rPr>
              <w:t>Digital Calipers (0-150mm)</w:t>
            </w:r>
          </w:p>
        </w:tc>
      </w:tr>
    </w:tbl>
    <w:p w:rsidR="00EF2AC8" w14:paraId="28222CE5" w14:textId="7A727594">
      <w:pPr>
        <w:pStyle w:val="Caption"/>
      </w:pPr>
      <w:r>
        <w:t xml:space="preserve">Table </w:t>
      </w:r>
      <w:r>
        <w:fldChar w:fldCharType="begin"/>
      </w:r>
      <w:r>
        <w:instrText xml:space="preserve"> SEQ Tabel \* ARABIC </w:instrText>
      </w:r>
      <w:r>
        <w:fldChar w:fldCharType="separate"/>
      </w:r>
      <w:r>
        <w:t>6</w:t>
      </w:r>
      <w:r>
        <w:fldChar w:fldCharType="end"/>
      </w:r>
      <w:r>
        <w:t>: CQA Example 2</w:t>
      </w:r>
    </w:p>
    <w:p w:rsidR="0079527E" w:rsidRPr="00C114AA" w:rsidP="00C114AA" w14:paraId="48C310E4" w14:textId="77777777">
      <w:pPr>
        <w:rPr>
          <w:sz w:val="20"/>
          <w:szCs w:val="18"/>
        </w:rPr>
      </w:pPr>
      <w:r w:rsidRPr="00C114AA">
        <w:rPr>
          <w:b/>
          <w:bCs/>
          <w:vertAlign w:val="superscript"/>
        </w:rPr>
        <w:t>[1]</w:t>
      </w:r>
      <w:r w:rsidRPr="00C114AA">
        <w:rPr>
          <w:sz w:val="20"/>
          <w:szCs w:val="18"/>
        </w:rPr>
        <w:t>Classification/Severity and Confidence Reliability should be provided by Philips in accordance with the sampling plans described in this guideline.</w:t>
      </w:r>
    </w:p>
    <w:p w:rsidR="0079527E" w:rsidRPr="00100B4D" w:rsidP="00C114AA" w14:paraId="7E6BC7ED" w14:textId="77777777"/>
    <w:p w:rsidR="0079527E" w:rsidRPr="00106433" w:rsidP="00C114AA" w14:paraId="07E1CBC8" w14:textId="77777777">
      <w:r w:rsidRPr="001523EC">
        <w:rPr>
          <w:b/>
          <w:bCs/>
        </w:rPr>
        <w:t>Critical Process Parameters (CPPs).</w:t>
      </w:r>
      <w:r w:rsidRPr="00F01DD2">
        <w:t xml:space="preserve"> Describe</w:t>
      </w:r>
      <w:r>
        <w:t xml:space="preserve"> the critical process parameters that are confirmed with the PQ study. Two tables are recommended. The first table lists the inputs and the respective operating ranges.</w:t>
      </w:r>
    </w:p>
    <w:p w:rsidR="0079527E" w:rsidRPr="00181B2C" w:rsidP="00BE4CDC" w14:paraId="7C5374B8" w14:textId="5539F7A3">
      <w:pPr>
        <w:rPr>
          <w:sz w:val="20"/>
          <w:szCs w:val="18"/>
        </w:rPr>
      </w:pPr>
    </w:p>
    <w:tbl>
      <w:tblPr>
        <w:tblStyle w:val="TableGrid"/>
        <w:tblW w:w="8414" w:type="dxa"/>
        <w:tblLook w:val="04A0"/>
      </w:tblPr>
      <w:tblGrid>
        <w:gridCol w:w="1849"/>
        <w:gridCol w:w="1980"/>
        <w:gridCol w:w="1800"/>
        <w:gridCol w:w="2785"/>
      </w:tblGrid>
      <w:tr w14:paraId="66192FFC" w14:textId="77777777" w:rsidTr="00BE4CDC">
        <w:tblPrEx>
          <w:tblW w:w="8414" w:type="dxa"/>
          <w:tblLook w:val="04A0"/>
        </w:tblPrEx>
        <w:trPr>
          <w:tblHeader/>
        </w:trPr>
        <w:tc>
          <w:tcPr>
            <w:tcW w:w="1849" w:type="dxa"/>
            <w:shd w:val="clear" w:color="auto" w:fill="C1E5FF" w:themeFill="accent1" w:themeFillTint="33"/>
          </w:tcPr>
          <w:p w:rsidR="0079527E" w:rsidRPr="002C3FD1" w:rsidP="005C08EE" w14:paraId="28B1B879" w14:textId="77777777">
            <w:pPr>
              <w:pStyle w:val="ListParagraph"/>
              <w:ind w:left="0"/>
              <w:rPr>
                <w:rFonts w:cstheme="minorHAnsi"/>
                <w:sz w:val="20"/>
                <w:szCs w:val="18"/>
              </w:rPr>
            </w:pPr>
            <w:r>
              <w:rPr>
                <w:rFonts w:cstheme="minorHAnsi"/>
                <w:sz w:val="20"/>
                <w:szCs w:val="18"/>
              </w:rPr>
              <w:t>CPP</w:t>
            </w:r>
          </w:p>
        </w:tc>
        <w:tc>
          <w:tcPr>
            <w:tcW w:w="1980" w:type="dxa"/>
            <w:shd w:val="clear" w:color="auto" w:fill="C1E5FF" w:themeFill="accent1" w:themeFillTint="33"/>
          </w:tcPr>
          <w:p w:rsidR="0079527E" w:rsidRPr="002C3FD1" w:rsidP="005C08EE" w14:paraId="44FEB6B9" w14:textId="77777777">
            <w:pPr>
              <w:pStyle w:val="ListParagraph"/>
              <w:ind w:left="0"/>
              <w:rPr>
                <w:rFonts w:cstheme="minorHAnsi"/>
                <w:sz w:val="20"/>
                <w:szCs w:val="18"/>
              </w:rPr>
            </w:pPr>
            <w:r w:rsidRPr="002C3FD1">
              <w:rPr>
                <w:rFonts w:cstheme="minorHAnsi"/>
                <w:sz w:val="20"/>
                <w:szCs w:val="18"/>
              </w:rPr>
              <w:t>Low Operating Limit</w:t>
            </w:r>
          </w:p>
        </w:tc>
        <w:tc>
          <w:tcPr>
            <w:tcW w:w="1800" w:type="dxa"/>
            <w:shd w:val="clear" w:color="auto" w:fill="C1E5FF" w:themeFill="accent1" w:themeFillTint="33"/>
          </w:tcPr>
          <w:p w:rsidR="0079527E" w:rsidRPr="002C3FD1" w:rsidP="005C08EE" w14:paraId="7AB4BCF5" w14:textId="77777777">
            <w:pPr>
              <w:pStyle w:val="ListParagraph"/>
              <w:ind w:left="0"/>
              <w:rPr>
                <w:rFonts w:cstheme="minorHAnsi"/>
                <w:sz w:val="20"/>
                <w:szCs w:val="18"/>
              </w:rPr>
            </w:pPr>
            <w:r w:rsidRPr="002C3FD1">
              <w:rPr>
                <w:rFonts w:cstheme="minorHAnsi"/>
                <w:sz w:val="20"/>
                <w:szCs w:val="18"/>
              </w:rPr>
              <w:t>Nominal Setting</w:t>
            </w:r>
          </w:p>
        </w:tc>
        <w:tc>
          <w:tcPr>
            <w:tcW w:w="2785" w:type="dxa"/>
            <w:shd w:val="clear" w:color="auto" w:fill="C1E5FF" w:themeFill="accent1" w:themeFillTint="33"/>
          </w:tcPr>
          <w:p w:rsidR="0079527E" w:rsidRPr="002C3FD1" w:rsidP="005C08EE" w14:paraId="02C1F679" w14:textId="77777777">
            <w:pPr>
              <w:pStyle w:val="ListParagraph"/>
              <w:ind w:left="0"/>
              <w:rPr>
                <w:rFonts w:cstheme="minorHAnsi"/>
                <w:sz w:val="20"/>
                <w:szCs w:val="18"/>
              </w:rPr>
            </w:pPr>
            <w:r w:rsidRPr="002C3FD1">
              <w:rPr>
                <w:rFonts w:cstheme="minorHAnsi"/>
                <w:sz w:val="20"/>
                <w:szCs w:val="18"/>
              </w:rPr>
              <w:t>High Operating Limit</w:t>
            </w:r>
          </w:p>
        </w:tc>
      </w:tr>
      <w:tr w14:paraId="57991319" w14:textId="77777777" w:rsidTr="00BE4CDC">
        <w:tblPrEx>
          <w:tblW w:w="8414" w:type="dxa"/>
          <w:tblLook w:val="04A0"/>
        </w:tblPrEx>
        <w:tc>
          <w:tcPr>
            <w:tcW w:w="1849" w:type="dxa"/>
          </w:tcPr>
          <w:p w:rsidR="0079527E" w:rsidRPr="00534786" w:rsidP="005C08EE" w14:paraId="6F52C0F2"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Seal Temperature</w:t>
            </w:r>
          </w:p>
        </w:tc>
        <w:tc>
          <w:tcPr>
            <w:tcW w:w="1980" w:type="dxa"/>
          </w:tcPr>
          <w:p w:rsidR="0079527E" w:rsidRPr="00534786" w:rsidP="005C08EE" w14:paraId="54C0F20F"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130°C</w:t>
            </w:r>
          </w:p>
        </w:tc>
        <w:tc>
          <w:tcPr>
            <w:tcW w:w="1800" w:type="dxa"/>
          </w:tcPr>
          <w:p w:rsidR="0079527E" w:rsidRPr="00534786" w:rsidP="005C08EE" w14:paraId="091303E4"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140°C</w:t>
            </w:r>
          </w:p>
        </w:tc>
        <w:tc>
          <w:tcPr>
            <w:tcW w:w="2785" w:type="dxa"/>
          </w:tcPr>
          <w:p w:rsidR="0079527E" w:rsidRPr="00534786" w:rsidP="005C08EE" w14:paraId="3988FE85"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150°C</w:t>
            </w:r>
          </w:p>
        </w:tc>
      </w:tr>
      <w:tr w14:paraId="4E00AFDC" w14:textId="77777777" w:rsidTr="00BE4CDC">
        <w:tblPrEx>
          <w:tblW w:w="8414" w:type="dxa"/>
          <w:tblLook w:val="04A0"/>
        </w:tblPrEx>
        <w:tc>
          <w:tcPr>
            <w:tcW w:w="1849" w:type="dxa"/>
          </w:tcPr>
          <w:p w:rsidR="0079527E" w:rsidRPr="00534786" w:rsidP="005C08EE" w14:paraId="267E9DAB"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Dwell Time</w:t>
            </w:r>
          </w:p>
        </w:tc>
        <w:tc>
          <w:tcPr>
            <w:tcW w:w="1980" w:type="dxa"/>
          </w:tcPr>
          <w:p w:rsidR="0079527E" w:rsidRPr="00534786" w:rsidP="005C08EE" w14:paraId="62737F10"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1.0 sec</w:t>
            </w:r>
          </w:p>
        </w:tc>
        <w:tc>
          <w:tcPr>
            <w:tcW w:w="1800" w:type="dxa"/>
          </w:tcPr>
          <w:p w:rsidR="0079527E" w:rsidRPr="00534786" w:rsidP="005C08EE" w14:paraId="03DE6FC5"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1.25 sec.</w:t>
            </w:r>
          </w:p>
        </w:tc>
        <w:tc>
          <w:tcPr>
            <w:tcW w:w="2785" w:type="dxa"/>
          </w:tcPr>
          <w:p w:rsidR="0079527E" w:rsidRPr="00534786" w:rsidP="005C08EE" w14:paraId="07727BB6"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1.5 sec</w:t>
            </w:r>
          </w:p>
        </w:tc>
      </w:tr>
      <w:tr w14:paraId="2DD703A6" w14:textId="77777777" w:rsidTr="00BE4CDC">
        <w:tblPrEx>
          <w:tblW w:w="8414" w:type="dxa"/>
          <w:tblLook w:val="04A0"/>
        </w:tblPrEx>
        <w:tc>
          <w:tcPr>
            <w:tcW w:w="1849" w:type="dxa"/>
          </w:tcPr>
          <w:p w:rsidR="0079527E" w:rsidRPr="00534786" w:rsidP="005C08EE" w14:paraId="0B677459"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Cool Time</w:t>
            </w:r>
          </w:p>
        </w:tc>
        <w:tc>
          <w:tcPr>
            <w:tcW w:w="1980" w:type="dxa"/>
          </w:tcPr>
          <w:p w:rsidR="0079527E" w:rsidRPr="00534786" w:rsidP="005C08EE" w14:paraId="1AE7439D"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2 sec</w:t>
            </w:r>
          </w:p>
        </w:tc>
        <w:tc>
          <w:tcPr>
            <w:tcW w:w="1800" w:type="dxa"/>
          </w:tcPr>
          <w:p w:rsidR="0079527E" w:rsidRPr="00534786" w:rsidP="005C08EE" w14:paraId="3519AA3D"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3 sec</w:t>
            </w:r>
          </w:p>
        </w:tc>
        <w:tc>
          <w:tcPr>
            <w:tcW w:w="2785" w:type="dxa"/>
          </w:tcPr>
          <w:p w:rsidR="0079527E" w:rsidRPr="00534786" w:rsidP="005C08EE" w14:paraId="34A4B596"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4 sec</w:t>
            </w:r>
          </w:p>
        </w:tc>
      </w:tr>
      <w:tr w14:paraId="17A572C7" w14:textId="77777777" w:rsidTr="00BE4CDC">
        <w:tblPrEx>
          <w:tblW w:w="8414" w:type="dxa"/>
          <w:tblLook w:val="04A0"/>
        </w:tblPrEx>
        <w:tc>
          <w:tcPr>
            <w:tcW w:w="1849" w:type="dxa"/>
          </w:tcPr>
          <w:p w:rsidR="0079527E" w:rsidRPr="00534786" w:rsidP="005C08EE" w14:paraId="2CB3CE13"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Pressure</w:t>
            </w:r>
          </w:p>
        </w:tc>
        <w:tc>
          <w:tcPr>
            <w:tcW w:w="1980" w:type="dxa"/>
          </w:tcPr>
          <w:p w:rsidR="0079527E" w:rsidRPr="00534786" w:rsidP="005C08EE" w14:paraId="08F56F6B"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50 Psi</w:t>
            </w:r>
          </w:p>
        </w:tc>
        <w:tc>
          <w:tcPr>
            <w:tcW w:w="1800" w:type="dxa"/>
          </w:tcPr>
          <w:p w:rsidR="0079527E" w:rsidRPr="00534786" w:rsidP="005C08EE" w14:paraId="4AC01E68"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55 Psi</w:t>
            </w:r>
          </w:p>
        </w:tc>
        <w:tc>
          <w:tcPr>
            <w:tcW w:w="2785" w:type="dxa"/>
          </w:tcPr>
          <w:p w:rsidR="0079527E" w:rsidRPr="00534786" w:rsidP="00EF2AC8" w14:paraId="475B6102" w14:textId="77777777">
            <w:pPr>
              <w:pStyle w:val="ListParagraph"/>
              <w:keepNext/>
              <w:ind w:left="0"/>
              <w:rPr>
                <w:rFonts w:cstheme="minorHAnsi"/>
                <w:color w:val="000000" w:themeColor="text1"/>
                <w:sz w:val="20"/>
                <w:szCs w:val="18"/>
              </w:rPr>
            </w:pPr>
            <w:r w:rsidRPr="00534786">
              <w:rPr>
                <w:rFonts w:cstheme="minorHAnsi"/>
                <w:color w:val="000000" w:themeColor="text1"/>
                <w:sz w:val="20"/>
                <w:szCs w:val="18"/>
              </w:rPr>
              <w:t>60 Psi</w:t>
            </w:r>
          </w:p>
        </w:tc>
      </w:tr>
    </w:tbl>
    <w:p w:rsidR="00EF2AC8" w14:paraId="6E59AF73" w14:textId="2B27D09A">
      <w:pPr>
        <w:pStyle w:val="Caption"/>
      </w:pPr>
      <w:r>
        <w:t xml:space="preserve">Table </w:t>
      </w:r>
      <w:r>
        <w:fldChar w:fldCharType="begin"/>
      </w:r>
      <w:r>
        <w:instrText xml:space="preserve"> SEQ Tabel \* ARABIC </w:instrText>
      </w:r>
      <w:r>
        <w:fldChar w:fldCharType="separate"/>
      </w:r>
      <w:r>
        <w:t>7</w:t>
      </w:r>
      <w:r>
        <w:fldChar w:fldCharType="end"/>
      </w:r>
      <w:r>
        <w:t xml:space="preserve">: </w:t>
      </w:r>
      <w:r w:rsidRPr="00BA422A">
        <w:t>Example of CPP Table</w:t>
      </w:r>
    </w:p>
    <w:p w:rsidR="0079527E" w:rsidP="00BE4CDC" w14:paraId="41310918" w14:textId="77777777">
      <w:r>
        <w:t>The second table describes the conditions for each PQ run.</w:t>
      </w:r>
    </w:p>
    <w:tbl>
      <w:tblPr>
        <w:tblStyle w:val="TableGrid"/>
        <w:tblW w:w="0" w:type="auto"/>
        <w:tblLook w:val="04A0"/>
      </w:tblPr>
      <w:tblGrid>
        <w:gridCol w:w="1849"/>
        <w:gridCol w:w="1980"/>
        <w:gridCol w:w="1800"/>
        <w:gridCol w:w="1800"/>
      </w:tblGrid>
      <w:tr w14:paraId="5DBC93FB" w14:textId="77777777" w:rsidTr="00BE4CDC">
        <w:tblPrEx>
          <w:tblW w:w="0" w:type="auto"/>
          <w:tblLook w:val="04A0"/>
        </w:tblPrEx>
        <w:trPr>
          <w:tblHeader/>
        </w:trPr>
        <w:tc>
          <w:tcPr>
            <w:tcW w:w="1849" w:type="dxa"/>
            <w:shd w:val="clear" w:color="auto" w:fill="C1E5FF" w:themeFill="accent1" w:themeFillTint="33"/>
          </w:tcPr>
          <w:p w:rsidR="0079527E" w:rsidRPr="002C3FD1" w:rsidP="005C08EE" w14:paraId="0D94B6FC" w14:textId="77777777">
            <w:pPr>
              <w:pStyle w:val="ListParagraph"/>
              <w:ind w:left="0"/>
              <w:rPr>
                <w:rFonts w:cstheme="minorHAnsi"/>
                <w:sz w:val="20"/>
                <w:szCs w:val="18"/>
              </w:rPr>
            </w:pPr>
            <w:r>
              <w:rPr>
                <w:rFonts w:cstheme="minorHAnsi"/>
                <w:sz w:val="20"/>
                <w:szCs w:val="18"/>
              </w:rPr>
              <w:t>CPP</w:t>
            </w:r>
          </w:p>
        </w:tc>
        <w:tc>
          <w:tcPr>
            <w:tcW w:w="1980" w:type="dxa"/>
            <w:shd w:val="clear" w:color="auto" w:fill="C1E5FF" w:themeFill="accent1" w:themeFillTint="33"/>
          </w:tcPr>
          <w:p w:rsidR="0079527E" w:rsidRPr="002C3FD1" w:rsidP="005C08EE" w14:paraId="1D3CAC67" w14:textId="77777777">
            <w:pPr>
              <w:pStyle w:val="ListParagraph"/>
              <w:ind w:left="0"/>
              <w:rPr>
                <w:rFonts w:cstheme="minorHAnsi"/>
                <w:sz w:val="20"/>
                <w:szCs w:val="18"/>
              </w:rPr>
            </w:pPr>
            <w:r w:rsidRPr="002C3FD1">
              <w:rPr>
                <w:rFonts w:cstheme="minorHAnsi"/>
                <w:sz w:val="20"/>
                <w:szCs w:val="18"/>
              </w:rPr>
              <w:t>PQ 1</w:t>
            </w:r>
          </w:p>
        </w:tc>
        <w:tc>
          <w:tcPr>
            <w:tcW w:w="1800" w:type="dxa"/>
            <w:shd w:val="clear" w:color="auto" w:fill="C1E5FF" w:themeFill="accent1" w:themeFillTint="33"/>
          </w:tcPr>
          <w:p w:rsidR="0079527E" w:rsidRPr="002C3FD1" w:rsidP="005C08EE" w14:paraId="3BAEB081" w14:textId="77777777">
            <w:pPr>
              <w:pStyle w:val="ListParagraph"/>
              <w:ind w:left="0"/>
              <w:rPr>
                <w:rFonts w:cstheme="minorHAnsi"/>
                <w:sz w:val="20"/>
                <w:szCs w:val="18"/>
              </w:rPr>
            </w:pPr>
            <w:r w:rsidRPr="002C3FD1">
              <w:rPr>
                <w:rFonts w:cstheme="minorHAnsi"/>
                <w:sz w:val="20"/>
                <w:szCs w:val="18"/>
              </w:rPr>
              <w:t>PQ 2</w:t>
            </w:r>
          </w:p>
        </w:tc>
        <w:tc>
          <w:tcPr>
            <w:tcW w:w="1800" w:type="dxa"/>
            <w:shd w:val="clear" w:color="auto" w:fill="C1E5FF" w:themeFill="accent1" w:themeFillTint="33"/>
          </w:tcPr>
          <w:p w:rsidR="0079527E" w:rsidRPr="002C3FD1" w:rsidP="005C08EE" w14:paraId="37B60A79" w14:textId="77777777">
            <w:pPr>
              <w:pStyle w:val="ListParagraph"/>
              <w:ind w:left="0"/>
              <w:rPr>
                <w:rFonts w:cstheme="minorHAnsi"/>
                <w:sz w:val="20"/>
                <w:szCs w:val="18"/>
              </w:rPr>
            </w:pPr>
            <w:r w:rsidRPr="002C3FD1">
              <w:rPr>
                <w:rFonts w:cstheme="minorHAnsi"/>
                <w:sz w:val="20"/>
                <w:szCs w:val="18"/>
              </w:rPr>
              <w:t>PQ 3</w:t>
            </w:r>
          </w:p>
        </w:tc>
      </w:tr>
      <w:tr w14:paraId="29327E11" w14:textId="77777777" w:rsidTr="00BE4CDC">
        <w:tblPrEx>
          <w:tblW w:w="0" w:type="auto"/>
          <w:tblLook w:val="04A0"/>
        </w:tblPrEx>
        <w:tc>
          <w:tcPr>
            <w:tcW w:w="1849" w:type="dxa"/>
          </w:tcPr>
          <w:p w:rsidR="0079527E" w:rsidRPr="00534786" w:rsidP="005C08EE" w14:paraId="2685DDBA"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Seal Temperature</w:t>
            </w:r>
          </w:p>
        </w:tc>
        <w:tc>
          <w:tcPr>
            <w:tcW w:w="1980" w:type="dxa"/>
          </w:tcPr>
          <w:p w:rsidR="0079527E" w:rsidRPr="00534786" w:rsidP="005C08EE" w14:paraId="7897DE5E"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140°C</w:t>
            </w:r>
          </w:p>
        </w:tc>
        <w:tc>
          <w:tcPr>
            <w:tcW w:w="1800" w:type="dxa"/>
          </w:tcPr>
          <w:p w:rsidR="0079527E" w:rsidRPr="00534786" w:rsidP="005C08EE" w14:paraId="753AA605"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140°C</w:t>
            </w:r>
          </w:p>
        </w:tc>
        <w:tc>
          <w:tcPr>
            <w:tcW w:w="1800" w:type="dxa"/>
          </w:tcPr>
          <w:p w:rsidR="0079527E" w:rsidRPr="00534786" w:rsidP="005C08EE" w14:paraId="660000FB"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140°C</w:t>
            </w:r>
          </w:p>
        </w:tc>
      </w:tr>
      <w:tr w14:paraId="121D1EC5" w14:textId="77777777" w:rsidTr="00BE4CDC">
        <w:tblPrEx>
          <w:tblW w:w="0" w:type="auto"/>
          <w:tblLook w:val="04A0"/>
        </w:tblPrEx>
        <w:tc>
          <w:tcPr>
            <w:tcW w:w="1849" w:type="dxa"/>
          </w:tcPr>
          <w:p w:rsidR="0079527E" w:rsidRPr="00534786" w:rsidP="005C08EE" w14:paraId="111B26B3"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Dwell Time</w:t>
            </w:r>
          </w:p>
        </w:tc>
        <w:tc>
          <w:tcPr>
            <w:tcW w:w="1980" w:type="dxa"/>
          </w:tcPr>
          <w:p w:rsidR="0079527E" w:rsidRPr="00534786" w:rsidP="005C08EE" w14:paraId="59A8504E"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1.25 sec</w:t>
            </w:r>
          </w:p>
        </w:tc>
        <w:tc>
          <w:tcPr>
            <w:tcW w:w="1800" w:type="dxa"/>
          </w:tcPr>
          <w:p w:rsidR="0079527E" w:rsidRPr="00534786" w:rsidP="005C08EE" w14:paraId="291DB1C7"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1.25 sec.</w:t>
            </w:r>
          </w:p>
        </w:tc>
        <w:tc>
          <w:tcPr>
            <w:tcW w:w="1800" w:type="dxa"/>
          </w:tcPr>
          <w:p w:rsidR="0079527E" w:rsidRPr="00534786" w:rsidP="005C08EE" w14:paraId="7339F947"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1.25 sec</w:t>
            </w:r>
          </w:p>
        </w:tc>
      </w:tr>
      <w:tr w14:paraId="072DF540" w14:textId="77777777" w:rsidTr="00BE4CDC">
        <w:tblPrEx>
          <w:tblW w:w="0" w:type="auto"/>
          <w:tblLook w:val="04A0"/>
        </w:tblPrEx>
        <w:tc>
          <w:tcPr>
            <w:tcW w:w="1849" w:type="dxa"/>
          </w:tcPr>
          <w:p w:rsidR="0079527E" w:rsidRPr="00534786" w:rsidP="005C08EE" w14:paraId="0232165B"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Cool Time</w:t>
            </w:r>
          </w:p>
        </w:tc>
        <w:tc>
          <w:tcPr>
            <w:tcW w:w="1980" w:type="dxa"/>
          </w:tcPr>
          <w:p w:rsidR="0079527E" w:rsidRPr="00534786" w:rsidP="005C08EE" w14:paraId="569049AB"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3 sec</w:t>
            </w:r>
          </w:p>
        </w:tc>
        <w:tc>
          <w:tcPr>
            <w:tcW w:w="1800" w:type="dxa"/>
          </w:tcPr>
          <w:p w:rsidR="0079527E" w:rsidRPr="00534786" w:rsidP="005C08EE" w14:paraId="78671031"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3 sec</w:t>
            </w:r>
          </w:p>
        </w:tc>
        <w:tc>
          <w:tcPr>
            <w:tcW w:w="1800" w:type="dxa"/>
          </w:tcPr>
          <w:p w:rsidR="0079527E" w:rsidRPr="00534786" w:rsidP="005C08EE" w14:paraId="24E52E4D"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3 sec</w:t>
            </w:r>
          </w:p>
        </w:tc>
      </w:tr>
      <w:tr w14:paraId="366F103A" w14:textId="77777777" w:rsidTr="00BE4CDC">
        <w:tblPrEx>
          <w:tblW w:w="0" w:type="auto"/>
          <w:tblLook w:val="04A0"/>
        </w:tblPrEx>
        <w:tc>
          <w:tcPr>
            <w:tcW w:w="1849" w:type="dxa"/>
          </w:tcPr>
          <w:p w:rsidR="0079527E" w:rsidRPr="00534786" w:rsidP="005C08EE" w14:paraId="09265159"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Pressure</w:t>
            </w:r>
          </w:p>
        </w:tc>
        <w:tc>
          <w:tcPr>
            <w:tcW w:w="1980" w:type="dxa"/>
          </w:tcPr>
          <w:p w:rsidR="0079527E" w:rsidRPr="00534786" w:rsidP="005C08EE" w14:paraId="1E0B868C"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55 Psi</w:t>
            </w:r>
          </w:p>
        </w:tc>
        <w:tc>
          <w:tcPr>
            <w:tcW w:w="1800" w:type="dxa"/>
          </w:tcPr>
          <w:p w:rsidR="0079527E" w:rsidRPr="00534786" w:rsidP="005C08EE" w14:paraId="3B3559B7" w14:textId="77777777">
            <w:pPr>
              <w:pStyle w:val="ListParagraph"/>
              <w:ind w:left="0"/>
              <w:rPr>
                <w:rFonts w:cstheme="minorHAnsi"/>
                <w:color w:val="000000" w:themeColor="text1"/>
                <w:sz w:val="20"/>
                <w:szCs w:val="18"/>
              </w:rPr>
            </w:pPr>
            <w:r w:rsidRPr="00534786">
              <w:rPr>
                <w:rFonts w:cstheme="minorHAnsi"/>
                <w:color w:val="000000" w:themeColor="text1"/>
                <w:sz w:val="20"/>
                <w:szCs w:val="18"/>
              </w:rPr>
              <w:t>55 Psi</w:t>
            </w:r>
          </w:p>
        </w:tc>
        <w:tc>
          <w:tcPr>
            <w:tcW w:w="1800" w:type="dxa"/>
          </w:tcPr>
          <w:p w:rsidR="0079527E" w:rsidRPr="00534786" w:rsidP="003C578C" w14:paraId="08BF8572" w14:textId="77777777">
            <w:pPr>
              <w:pStyle w:val="ListParagraph"/>
              <w:keepNext/>
              <w:ind w:left="0"/>
              <w:rPr>
                <w:rFonts w:cstheme="minorHAnsi"/>
                <w:color w:val="000000" w:themeColor="text1"/>
                <w:sz w:val="20"/>
                <w:szCs w:val="18"/>
              </w:rPr>
            </w:pPr>
            <w:r w:rsidRPr="00534786">
              <w:rPr>
                <w:rFonts w:cstheme="minorHAnsi"/>
                <w:color w:val="000000" w:themeColor="text1"/>
                <w:sz w:val="20"/>
                <w:szCs w:val="18"/>
              </w:rPr>
              <w:t>55 PSI</w:t>
            </w:r>
          </w:p>
        </w:tc>
      </w:tr>
    </w:tbl>
    <w:p w:rsidR="0079527E" w:rsidP="003C578C" w14:paraId="5DCE422E" w14:textId="379C32D5">
      <w:pPr>
        <w:pStyle w:val="Caption"/>
        <w:rPr>
          <w:b/>
          <w:bCs/>
        </w:rPr>
      </w:pPr>
      <w:r>
        <w:t xml:space="preserve">Table </w:t>
      </w:r>
      <w:r>
        <w:fldChar w:fldCharType="begin"/>
      </w:r>
      <w:r>
        <w:instrText xml:space="preserve"> SEQ Tabel \* ARABIC </w:instrText>
      </w:r>
      <w:r>
        <w:fldChar w:fldCharType="separate"/>
      </w:r>
      <w:r>
        <w:t>8</w:t>
      </w:r>
      <w:r>
        <w:fldChar w:fldCharType="end"/>
      </w:r>
      <w:r>
        <w:t xml:space="preserve">: </w:t>
      </w:r>
      <w:r w:rsidRPr="00AF5610">
        <w:t>Example of CPPs for PQ Study</w:t>
      </w:r>
    </w:p>
    <w:p w:rsidR="0079527E" w:rsidRPr="00F01DD2" w:rsidP="00837D3D" w14:paraId="4CCDD8FE" w14:textId="77777777">
      <w:pPr>
        <w:pStyle w:val="Heading3"/>
        <w:rPr>
          <w:bCs/>
        </w:rPr>
      </w:pPr>
      <w:r w:rsidRPr="00C114AA">
        <w:rPr>
          <w:b/>
          <w:bCs/>
        </w:rPr>
        <w:t>Build Requirements.</w:t>
      </w:r>
      <w:r w:rsidRPr="00F01DD2">
        <w:t xml:space="preserve"> This chapter describes the following:</w:t>
      </w:r>
    </w:p>
    <w:p w:rsidR="0079527E" w:rsidRPr="00F01DD2" w:rsidP="00837D3D" w14:paraId="100A72E6" w14:textId="77777777">
      <w:pPr>
        <w:pStyle w:val="Heading4"/>
      </w:pPr>
      <w:r w:rsidRPr="00C114AA">
        <w:rPr>
          <w:b/>
          <w:bCs/>
        </w:rPr>
        <w:t>Equipment.</w:t>
      </w:r>
      <w:r w:rsidRPr="00F01DD2">
        <w:t xml:space="preserve"> Document a list of equipment, tooling, and fixtures that will be used to build the PQ samples. It is a CDRH expectation that the equipment used during validation is documented. Only qualified equipment, tooling, and fixtures may be used for PQ. Use the same equipment, tooling, and fixtures that were used for OQ and that will be used for commercial manufacturing.</w:t>
      </w:r>
    </w:p>
    <w:p w:rsidR="0079527E" w:rsidRPr="00F01DD2" w:rsidP="00837D3D" w14:paraId="7BE6A73C" w14:textId="77777777">
      <w:pPr>
        <w:pStyle w:val="Heading4"/>
      </w:pPr>
      <w:r w:rsidRPr="00C114AA">
        <w:rPr>
          <w:b/>
          <w:bCs/>
        </w:rPr>
        <w:t>Work Instructions.</w:t>
      </w:r>
      <w:r w:rsidRPr="00F01DD2">
        <w:t xml:space="preserve"> Include a complete list of work instructions that will control the building of PQ samples. Use the same work instructions that will be used for commercial manufacturing. The work instructions must be complete, approved, and referenced in the protocol by title and document number. One exception to </w:t>
      </w:r>
      <w:r w:rsidRPr="00F01DD2">
        <w:t>this rule is when a change is made to an existing process. In this case, the work instruction is redlined and attached to the protocol.</w:t>
      </w:r>
    </w:p>
    <w:p w:rsidR="0079527E" w:rsidRPr="00181B2C" w:rsidP="00837D3D" w14:paraId="5AAAA627" w14:textId="77777777">
      <w:pPr>
        <w:pStyle w:val="Heading4"/>
        <w:rPr>
          <w:b/>
          <w:bCs/>
        </w:rPr>
      </w:pPr>
      <w:r w:rsidRPr="00C114AA">
        <w:rPr>
          <w:b/>
          <w:bCs/>
        </w:rPr>
        <w:t>Build Parameters</w:t>
      </w:r>
      <w:r w:rsidRPr="00972765">
        <w:rPr>
          <w:b/>
          <w:bCs/>
        </w:rPr>
        <w:t xml:space="preserve">. </w:t>
      </w:r>
      <w:r>
        <w:t>Describe details and background of the PQ runs including rationales for the number of PQ runs and the number of samples that are built with each PQ run.</w:t>
      </w:r>
    </w:p>
    <w:p w:rsidR="0079527E" w:rsidP="00837D3D" w14:paraId="5FB4FBA9" w14:textId="77777777">
      <w:pPr>
        <w:pStyle w:val="Normal5Indent"/>
        <w:numPr>
          <w:ilvl w:val="0"/>
          <w:numId w:val="19"/>
        </w:numPr>
      </w:pPr>
      <w:r>
        <w:t>The number of PQ runs that will be executed including a rationale.</w:t>
      </w:r>
    </w:p>
    <w:p w:rsidR="0079527E" w:rsidRPr="00181B2C" w:rsidP="00837D3D" w14:paraId="3D2765E6" w14:textId="77777777">
      <w:pPr>
        <w:pStyle w:val="Normal5Indent"/>
      </w:pPr>
      <w:r>
        <w:t>T</w:t>
      </w:r>
      <w:r w:rsidRPr="00181B2C">
        <w:t xml:space="preserve">he number of samples that are manufactured/assembled/built for each </w:t>
      </w:r>
      <w:r>
        <w:t>P</w:t>
      </w:r>
      <w:r w:rsidRPr="00181B2C">
        <w:t>Q run.</w:t>
      </w:r>
    </w:p>
    <w:p w:rsidR="0079527E" w:rsidRPr="00181B2C" w:rsidP="00837D3D" w14:paraId="2B7D0ACA" w14:textId="77777777">
      <w:pPr>
        <w:pStyle w:val="Normal5Indent"/>
      </w:pPr>
      <w:r>
        <w:t>T</w:t>
      </w:r>
      <w:r w:rsidRPr="00181B2C">
        <w:t xml:space="preserve">he number of </w:t>
      </w:r>
      <w:r>
        <w:t xml:space="preserve">process </w:t>
      </w:r>
      <w:r w:rsidRPr="00181B2C">
        <w:t>operators that will</w:t>
      </w:r>
      <w:r>
        <w:t xml:space="preserve"> build the PQ samples.</w:t>
      </w:r>
    </w:p>
    <w:p w:rsidR="0079527E" w:rsidRPr="00181B2C" w:rsidP="00837D3D" w14:paraId="77139FE0" w14:textId="77777777">
      <w:pPr>
        <w:pStyle w:val="Normal5Indent"/>
      </w:pPr>
      <w:r>
        <w:t>T</w:t>
      </w:r>
      <w:r w:rsidRPr="00181B2C">
        <w:t xml:space="preserve">he number of raw </w:t>
      </w:r>
      <w:r w:rsidRPr="00181B2C">
        <w:t>material</w:t>
      </w:r>
      <w:r w:rsidRPr="00181B2C">
        <w:t xml:space="preserve"> </w:t>
      </w:r>
      <w:r>
        <w:t xml:space="preserve">lots </w:t>
      </w:r>
      <w:r w:rsidRPr="00181B2C">
        <w:t xml:space="preserve">or component </w:t>
      </w:r>
      <w:r w:rsidRPr="00181B2C">
        <w:t>lots</w:t>
      </w:r>
      <w:r w:rsidRPr="00181B2C">
        <w:t xml:space="preserve"> that will be used</w:t>
      </w:r>
      <w:r>
        <w:t xml:space="preserve"> for the PQ builds</w:t>
      </w:r>
    </w:p>
    <w:p w:rsidR="0079527E" w:rsidRPr="00181B2C" w:rsidP="00837D3D" w14:paraId="46E952EE" w14:textId="77777777">
      <w:pPr>
        <w:pStyle w:val="Normal5Indent"/>
      </w:pPr>
      <w:r>
        <w:t>D</w:t>
      </w:r>
      <w:r w:rsidRPr="00181B2C">
        <w:t xml:space="preserve">uring which production shift the </w:t>
      </w:r>
      <w:r>
        <w:t>P</w:t>
      </w:r>
      <w:r w:rsidRPr="00181B2C">
        <w:t xml:space="preserve">Qs will be built. </w:t>
      </w:r>
    </w:p>
    <w:p w:rsidR="0079527E" w:rsidP="00706D0E" w14:paraId="4ADAFF5A" w14:textId="77777777">
      <w:pPr>
        <w:pStyle w:val="ListParagraph"/>
        <w:numPr>
          <w:ilvl w:val="0"/>
          <w:numId w:val="0"/>
        </w:numPr>
        <w:spacing w:after="60"/>
        <w:ind w:left="1584"/>
        <w:contextualSpacing w:val="0"/>
      </w:pPr>
      <w:r>
        <w:t xml:space="preserve">Before writing the PQ protocol, determine the sources of variations in the anticipated commercial manufacturing environment and design the PQ study so that the uncontrolled significant sources of variation are included in the PQ study. Consider differences in process operator skill, variances between equipment, differences between incoming materials and parts, differences between shifts, etc. </w:t>
      </w:r>
    </w:p>
    <w:p w:rsidR="0079527E" w:rsidRPr="00F01DD2" w:rsidP="00706D0E" w14:paraId="4E8307EC" w14:textId="77777777">
      <w:pPr>
        <w:pStyle w:val="ListParagraph"/>
        <w:numPr>
          <w:ilvl w:val="0"/>
          <w:numId w:val="0"/>
        </w:numPr>
        <w:spacing w:after="60"/>
        <w:ind w:left="1584"/>
        <w:contextualSpacing w:val="0"/>
      </w:pPr>
      <w:r>
        <w:t xml:space="preserve">Randomize the different sources of variation over the number of PQ runs. Although 3 PQ </w:t>
      </w:r>
      <w:r w:rsidRPr="00F01DD2">
        <w:t>runs is the accepted industry practice, more PQ runs may be necessary to challenge all sources of variation.</w:t>
      </w:r>
    </w:p>
    <w:p w:rsidR="0079527E" w:rsidRPr="00F01DD2" w:rsidP="00837D3D" w14:paraId="13D3C400" w14:textId="77777777">
      <w:pPr>
        <w:pStyle w:val="Heading4"/>
      </w:pPr>
      <w:r w:rsidRPr="00B15A3B">
        <w:rPr>
          <w:b/>
          <w:bCs/>
        </w:rPr>
        <w:t>Build Execution</w:t>
      </w:r>
      <w:r w:rsidRPr="00F01DD2">
        <w:t>. Describe the process conditions for each PQ run in this chapter. This should tell the process operators how to set up the equipment for each PQ and how many samples to build per PQ run. Work instructions describe how to build the PQ samples. There may be some additional requirements for a PQ build which is not part of routine or commercial manufacturing.</w:t>
      </w:r>
    </w:p>
    <w:p w:rsidR="0079527E" w:rsidRPr="00F01DD2" w:rsidP="00837D3D" w14:paraId="3E12F09E" w14:textId="77777777">
      <w:pPr>
        <w:pStyle w:val="Heading4"/>
      </w:pPr>
      <w:r w:rsidRPr="00115432">
        <w:rPr>
          <w:b/>
          <w:bCs/>
        </w:rPr>
        <w:t>Sample Conditioning</w:t>
      </w:r>
      <w:r w:rsidRPr="00F01DD2">
        <w:t>. As applicable, the samples may need to be conditioned per the specifications before they are tested. For instance, devices may need to be sterilized before they are tested.</w:t>
      </w:r>
    </w:p>
    <w:p w:rsidR="0079527E" w:rsidRPr="00F01DD2" w:rsidP="00837D3D" w14:paraId="77A5B536" w14:textId="77777777">
      <w:pPr>
        <w:pStyle w:val="Heading3"/>
        <w:rPr>
          <w:bCs/>
        </w:rPr>
      </w:pPr>
      <w:r w:rsidRPr="00115432">
        <w:rPr>
          <w:b/>
          <w:bCs/>
        </w:rPr>
        <w:t xml:space="preserve">Inspection and </w:t>
      </w:r>
      <w:r w:rsidRPr="00115432">
        <w:rPr>
          <w:b/>
          <w:bCs/>
        </w:rPr>
        <w:t>Testing</w:t>
      </w:r>
      <w:r w:rsidRPr="00115432">
        <w:rPr>
          <w:b/>
          <w:bCs/>
        </w:rPr>
        <w:t xml:space="preserve"> of PQ Samples.</w:t>
      </w:r>
      <w:r w:rsidRPr="00F01DD2">
        <w:t xml:space="preserve"> For each CQA, provide the information presented in this chapter.</w:t>
      </w:r>
    </w:p>
    <w:p w:rsidR="0079527E" w:rsidRPr="00F01DD2" w:rsidP="00837D3D" w14:paraId="2B25D453" w14:textId="4DA7DDFA">
      <w:pPr>
        <w:pStyle w:val="Heading4"/>
        <w:rPr>
          <w:i/>
          <w:iCs/>
        </w:rPr>
      </w:pPr>
      <w:r w:rsidRPr="00115432">
        <w:rPr>
          <w:b/>
          <w:bCs/>
        </w:rPr>
        <w:t>Sample size determination</w:t>
      </w:r>
      <w:r w:rsidRPr="00F01DD2">
        <w:t xml:space="preserve">. A rationale for the number of test samples must be provided in the protocol.  The rationale must be based on valid statistical techniques. Sample size depends on the CQA classification (CTQ, CTS, KPI) and the associated Severity of Harm (SOH) or Severity of Effect (SOE). Criticality, SOH, and SOE must be provided by Philips. Refer to chapter </w:t>
      </w:r>
      <w:r w:rsidR="00367D12">
        <w:t>10</w:t>
      </w:r>
      <w:r w:rsidRPr="00F01DD2">
        <w:t xml:space="preserve"> for a list of sampling plans which are based on valid statistical techniques</w:t>
      </w:r>
      <w:r w:rsidRPr="00F01DD2">
        <w:rPr>
          <w:i/>
          <w:iCs/>
        </w:rPr>
        <w:t>.</w:t>
      </w:r>
    </w:p>
    <w:p w:rsidR="0079527E" w:rsidP="00115432" w14:paraId="654F49CB" w14:textId="77777777">
      <w:pPr>
        <w:pStyle w:val="ListParagraph"/>
        <w:numPr>
          <w:ilvl w:val="0"/>
          <w:numId w:val="0"/>
        </w:numPr>
        <w:spacing w:after="120"/>
        <w:ind w:left="1584"/>
        <w:contextualSpacing w:val="0"/>
      </w:pPr>
      <w:r w:rsidRPr="00F01DD2">
        <w:t>A sample size rationale</w:t>
      </w:r>
      <w:r>
        <w:t xml:space="preserve"> example in a supplier’s protocol may be worded like the following:</w:t>
      </w:r>
    </w:p>
    <w:p w:rsidR="0079527E" w:rsidRPr="00CB66D3" w:rsidP="00115432" w14:paraId="2DCEE230" w14:textId="77777777">
      <w:pPr>
        <w:pStyle w:val="ListParagraph"/>
        <w:numPr>
          <w:ilvl w:val="0"/>
          <w:numId w:val="0"/>
        </w:numPr>
        <w:tabs>
          <w:tab w:val="left" w:pos="1530"/>
        </w:tabs>
        <w:ind w:left="1584"/>
        <w:rPr>
          <w:i/>
          <w:iCs/>
        </w:rPr>
      </w:pPr>
      <w:r w:rsidRPr="00CB66D3">
        <w:rPr>
          <w:u w:val="single"/>
        </w:rPr>
        <w:t xml:space="preserve">Example for </w:t>
      </w:r>
      <w:r>
        <w:rPr>
          <w:u w:val="single"/>
        </w:rPr>
        <w:t>P</w:t>
      </w:r>
      <w:r w:rsidRPr="00CB66D3">
        <w:rPr>
          <w:u w:val="single"/>
        </w:rPr>
        <w:t>Q protocol, attribute data, C</w:t>
      </w:r>
      <w:r>
        <w:rPr>
          <w:u w:val="single"/>
        </w:rPr>
        <w:t>T</w:t>
      </w:r>
      <w:r w:rsidRPr="00CB66D3">
        <w:rPr>
          <w:u w:val="single"/>
        </w:rPr>
        <w:t>S</w:t>
      </w:r>
      <w:r>
        <w:rPr>
          <w:u w:val="single"/>
        </w:rPr>
        <w:t>-S4</w:t>
      </w:r>
      <w:r w:rsidRPr="00CB66D3">
        <w:rPr>
          <w:u w:val="single"/>
        </w:rPr>
        <w:t>:</w:t>
      </w:r>
    </w:p>
    <w:p w:rsidR="0079527E" w:rsidP="005B4F1D" w14:paraId="74C8256C" w14:textId="77777777">
      <w:pPr>
        <w:pStyle w:val="ListParagraph"/>
        <w:numPr>
          <w:ilvl w:val="0"/>
          <w:numId w:val="0"/>
        </w:numPr>
        <w:ind w:left="1584"/>
        <w:rPr>
          <w:i/>
          <w:iCs/>
        </w:rPr>
      </w:pPr>
      <w:r>
        <w:rPr>
          <w:i/>
          <w:iCs/>
        </w:rPr>
        <w:t>‘‘</w:t>
      </w:r>
      <w:r w:rsidRPr="00AD325B">
        <w:rPr>
          <w:i/>
          <w:iCs/>
        </w:rPr>
        <w:t>Sampling plans will be used to make pass/fail decision for each requirement. The proposed sampling plan</w:t>
      </w:r>
      <w:r>
        <w:rPr>
          <w:i/>
          <w:iCs/>
        </w:rPr>
        <w:t xml:space="preserve"> is provided by </w:t>
      </w:r>
      <w:r w:rsidRPr="00AD325B">
        <w:rPr>
          <w:i/>
          <w:iCs/>
        </w:rPr>
        <w:t>Philips Healthcare in</w:t>
      </w:r>
      <w:r>
        <w:rPr>
          <w:i/>
          <w:iCs/>
        </w:rPr>
        <w:t xml:space="preserve"> the signed SRPQP (Doc Reference). </w:t>
      </w:r>
      <w:r w:rsidRPr="00AD325B">
        <w:rPr>
          <w:i/>
          <w:iCs/>
        </w:rPr>
        <w:t xml:space="preserve">For </w:t>
      </w:r>
      <w:r>
        <w:rPr>
          <w:i/>
          <w:iCs/>
        </w:rPr>
        <w:t>a CQA</w:t>
      </w:r>
      <w:r>
        <w:rPr>
          <w:i/>
          <w:iCs/>
        </w:rPr>
        <w:t xml:space="preserve"> </w:t>
      </w:r>
      <w:r>
        <w:rPr>
          <w:i/>
          <w:iCs/>
        </w:rPr>
        <w:t>with CTS and SOH S4, an</w:t>
      </w:r>
      <w:r w:rsidRPr="00AD325B">
        <w:rPr>
          <w:i/>
          <w:iCs/>
        </w:rPr>
        <w:t xml:space="preserve"> </w:t>
      </w:r>
      <w:r>
        <w:rPr>
          <w:i/>
          <w:iCs/>
        </w:rPr>
        <w:t xml:space="preserve">attribute </w:t>
      </w:r>
      <w:r w:rsidRPr="00AD325B">
        <w:rPr>
          <w:i/>
          <w:iCs/>
        </w:rPr>
        <w:t xml:space="preserve">sampling plan is selected that provides 95% confidence that at least </w:t>
      </w:r>
      <w:r>
        <w:rPr>
          <w:i/>
          <w:iCs/>
        </w:rPr>
        <w:t>99</w:t>
      </w:r>
      <w:r w:rsidRPr="00AD325B">
        <w:rPr>
          <w:i/>
          <w:iCs/>
        </w:rPr>
        <w:t xml:space="preserve">% of </w:t>
      </w:r>
      <w:r>
        <w:rPr>
          <w:i/>
          <w:iCs/>
        </w:rPr>
        <w:t>products conform to</w:t>
      </w:r>
      <w:r w:rsidRPr="00AD325B">
        <w:rPr>
          <w:i/>
          <w:iCs/>
        </w:rPr>
        <w:t xml:space="preserve"> </w:t>
      </w:r>
      <w:r w:rsidRPr="005B3D6F">
        <w:rPr>
          <w:i/>
          <w:iCs/>
          <w:color w:val="000000" w:themeColor="text1"/>
        </w:rPr>
        <w:t xml:space="preserve">requirements at </w:t>
      </w:r>
      <w:r>
        <w:rPr>
          <w:i/>
          <w:iCs/>
          <w:color w:val="000000" w:themeColor="text1"/>
        </w:rPr>
        <w:t>normal conditions of manufacturing</w:t>
      </w:r>
      <w:r>
        <w:rPr>
          <w:i/>
          <w:iCs/>
        </w:rPr>
        <w:t xml:space="preserve">. </w:t>
      </w:r>
      <w:r w:rsidRPr="00AD325B">
        <w:rPr>
          <w:i/>
          <w:iCs/>
        </w:rPr>
        <w:t>A sampling plan with n=</w:t>
      </w:r>
      <w:r>
        <w:rPr>
          <w:i/>
          <w:iCs/>
        </w:rPr>
        <w:t>299</w:t>
      </w:r>
      <w:r w:rsidRPr="00AD325B">
        <w:rPr>
          <w:i/>
          <w:iCs/>
        </w:rPr>
        <w:t xml:space="preserve"> </w:t>
      </w:r>
      <w:r w:rsidRPr="00AD325B">
        <w:rPr>
          <w:i/>
          <w:iCs/>
        </w:rPr>
        <w:t>and c=0 meets this requirement whereas n=number of samples to be tested and c=</w:t>
      </w:r>
      <w:r>
        <w:rPr>
          <w:i/>
          <w:iCs/>
        </w:rPr>
        <w:t xml:space="preserve">maximum </w:t>
      </w:r>
      <w:r w:rsidRPr="00AD325B">
        <w:rPr>
          <w:i/>
          <w:iCs/>
        </w:rPr>
        <w:t>number of failures allowed.</w:t>
      </w:r>
      <w:r>
        <w:rPr>
          <w:i/>
          <w:iCs/>
        </w:rPr>
        <w:t xml:space="preserve"> The samples will be pooled over the PQ runs. Therefore, 100 samples each will be collected for testing from PQ run 1 and 2, and 99 samples will be collected for testing from PQ run 3.”</w:t>
      </w:r>
      <w:r w:rsidRPr="00AD325B">
        <w:rPr>
          <w:i/>
          <w:iCs/>
        </w:rPr>
        <w:t xml:space="preserve">  </w:t>
      </w:r>
    </w:p>
    <w:p w:rsidR="0079527E" w:rsidP="00BE4CDC" w14:paraId="3D50A635" w14:textId="77777777">
      <w:pPr>
        <w:pStyle w:val="ListParagraph"/>
        <w:numPr>
          <w:ilvl w:val="0"/>
          <w:numId w:val="0"/>
        </w:numPr>
        <w:ind w:left="288"/>
        <w:rPr>
          <w:i/>
          <w:iCs/>
        </w:rPr>
      </w:pPr>
    </w:p>
    <w:p w:rsidR="0079527E" w:rsidRPr="00A1215F" w:rsidP="005B4F1D" w14:paraId="5A051066" w14:textId="77777777">
      <w:pPr>
        <w:pStyle w:val="ListParagraph"/>
        <w:numPr>
          <w:ilvl w:val="0"/>
          <w:numId w:val="0"/>
        </w:numPr>
        <w:tabs>
          <w:tab w:val="left" w:pos="1530"/>
        </w:tabs>
        <w:ind w:left="1529" w:firstLine="1" w:leftChars="695"/>
        <w:rPr>
          <w:u w:val="single"/>
        </w:rPr>
      </w:pPr>
      <w:r w:rsidRPr="00A1215F">
        <w:rPr>
          <w:u w:val="single"/>
        </w:rPr>
        <w:t xml:space="preserve">Example for </w:t>
      </w:r>
      <w:r>
        <w:rPr>
          <w:u w:val="single"/>
        </w:rPr>
        <w:t>P</w:t>
      </w:r>
      <w:r w:rsidRPr="00A1215F">
        <w:rPr>
          <w:u w:val="single"/>
        </w:rPr>
        <w:t>Q protocol</w:t>
      </w:r>
      <w:r>
        <w:rPr>
          <w:u w:val="single"/>
        </w:rPr>
        <w:t>, variable data with two-sided specification, CTS-S4</w:t>
      </w:r>
      <w:r w:rsidRPr="00A1215F">
        <w:rPr>
          <w:u w:val="single"/>
        </w:rPr>
        <w:t>:</w:t>
      </w:r>
    </w:p>
    <w:p w:rsidR="0079527E" w:rsidP="005B4F1D" w14:paraId="0F530E65" w14:textId="77777777">
      <w:pPr>
        <w:pStyle w:val="ListParagraph"/>
        <w:numPr>
          <w:ilvl w:val="0"/>
          <w:numId w:val="0"/>
        </w:numPr>
        <w:ind w:left="1619" w:firstLine="1" w:leftChars="736"/>
        <w:rPr>
          <w:i/>
          <w:iCs/>
        </w:rPr>
      </w:pPr>
      <w:r>
        <w:rPr>
          <w:i/>
          <w:iCs/>
        </w:rPr>
        <w:t>‘‘</w:t>
      </w:r>
      <w:r w:rsidRPr="00AD325B">
        <w:rPr>
          <w:i/>
          <w:iCs/>
        </w:rPr>
        <w:t xml:space="preserve">Sampling plans will be used to make pass/fail decision for each requirement. The proposed sampling plan </w:t>
      </w:r>
      <w:r>
        <w:rPr>
          <w:i/>
          <w:iCs/>
        </w:rPr>
        <w:t>is provided by</w:t>
      </w:r>
      <w:r w:rsidRPr="00AD325B">
        <w:rPr>
          <w:i/>
          <w:iCs/>
        </w:rPr>
        <w:t xml:space="preserve"> Philips Healthcare in</w:t>
      </w:r>
      <w:r>
        <w:rPr>
          <w:i/>
          <w:iCs/>
        </w:rPr>
        <w:t xml:space="preserve"> the signed SRPQP (Doc Reference). For a CQA with classification CTS and SOH S4, a</w:t>
      </w:r>
      <w:r w:rsidRPr="00AD325B">
        <w:rPr>
          <w:i/>
          <w:iCs/>
        </w:rPr>
        <w:t xml:space="preserve"> </w:t>
      </w:r>
      <w:r>
        <w:rPr>
          <w:i/>
          <w:iCs/>
        </w:rPr>
        <w:t>variable</w:t>
      </w:r>
      <w:r w:rsidRPr="00AD325B">
        <w:rPr>
          <w:i/>
          <w:iCs/>
        </w:rPr>
        <w:t xml:space="preserve"> sampling plan is selected that provides 95% confidence that at least </w:t>
      </w:r>
      <w:r>
        <w:rPr>
          <w:i/>
          <w:iCs/>
        </w:rPr>
        <w:t>99</w:t>
      </w:r>
      <w:r w:rsidRPr="00AD325B">
        <w:rPr>
          <w:i/>
          <w:iCs/>
        </w:rPr>
        <w:t xml:space="preserve">% of the </w:t>
      </w:r>
      <w:r>
        <w:rPr>
          <w:i/>
          <w:iCs/>
        </w:rPr>
        <w:t>components</w:t>
      </w:r>
      <w:r w:rsidRPr="00AD325B">
        <w:rPr>
          <w:i/>
          <w:iCs/>
        </w:rPr>
        <w:t xml:space="preserve"> meet </w:t>
      </w:r>
      <w:r w:rsidRPr="00DC5748">
        <w:rPr>
          <w:i/>
          <w:iCs/>
          <w:color w:val="000000" w:themeColor="text1"/>
        </w:rPr>
        <w:t xml:space="preserve">requirements </w:t>
      </w:r>
      <w:r>
        <w:rPr>
          <w:i/>
          <w:iCs/>
          <w:color w:val="000000" w:themeColor="text1"/>
        </w:rPr>
        <w:t xml:space="preserve">under normal </w:t>
      </w:r>
      <w:r w:rsidRPr="00DC5748">
        <w:rPr>
          <w:i/>
          <w:iCs/>
          <w:color w:val="000000" w:themeColor="text1"/>
        </w:rPr>
        <w:t>conditions of manufacturing</w:t>
      </w:r>
      <w:r w:rsidRPr="00AD325B">
        <w:rPr>
          <w:i/>
          <w:iCs/>
        </w:rPr>
        <w:t xml:space="preserve">. </w:t>
      </w:r>
      <w:r>
        <w:rPr>
          <w:i/>
          <w:iCs/>
        </w:rPr>
        <w:t xml:space="preserve">A sampling plan for a two-sided specification with n=15 and RQL = 1% is selected. 15 samples per PQ run will be collected for testing. The sampling plan will accept the PQ run if the calculated Ppk of the 15 samples is equal to or greater than 1.18 and if the calculated Pp of the 15 samples is equal to or greater than 1.18. Data will be tested for normality before analysis. </w:t>
      </w:r>
      <w:r w:rsidRPr="00CE4251">
        <w:rPr>
          <w:i/>
          <w:iCs/>
        </w:rPr>
        <w:t>If the normality test fails, a suitable distribution will be determined for the analysis, or data may be converted to attribute data.</w:t>
      </w:r>
      <w:r>
        <w:rPr>
          <w:i/>
          <w:iCs/>
        </w:rPr>
        <w:t>”</w:t>
      </w:r>
    </w:p>
    <w:p w:rsidR="0079527E" w:rsidP="005B4F1D" w14:paraId="005BFD68" w14:textId="77777777">
      <w:pPr>
        <w:pStyle w:val="ListParagraph"/>
        <w:numPr>
          <w:ilvl w:val="0"/>
          <w:numId w:val="0"/>
        </w:numPr>
        <w:ind w:left="1619" w:firstLine="1" w:leftChars="736"/>
        <w:rPr>
          <w:i/>
          <w:iCs/>
        </w:rPr>
      </w:pPr>
    </w:p>
    <w:p w:rsidR="0079527E" w:rsidRPr="00C146C4" w:rsidP="00837D3D" w14:paraId="6415218C" w14:textId="77777777">
      <w:pPr>
        <w:pStyle w:val="Heading4"/>
        <w:rPr>
          <w:b/>
          <w:bCs/>
        </w:rPr>
      </w:pPr>
      <w:r w:rsidRPr="005B4F1D">
        <w:rPr>
          <w:b/>
          <w:bCs/>
        </w:rPr>
        <w:t>Sample collection strategy</w:t>
      </w:r>
      <w:r w:rsidRPr="00F01DD2">
        <w:t>. The</w:t>
      </w:r>
      <w:r>
        <w:t xml:space="preserve"> protocol describes how test samples are collected during or after the sample builds. Some but not all sampling strategies are:</w:t>
      </w:r>
    </w:p>
    <w:p w:rsidR="0079527E" w:rsidRPr="00837D3D" w:rsidP="00533D3E" w14:paraId="19B4DC7E" w14:textId="77777777">
      <w:pPr>
        <w:pStyle w:val="Normal5Indent"/>
        <w:numPr>
          <w:ilvl w:val="0"/>
          <w:numId w:val="20"/>
        </w:numPr>
        <w:ind w:left="1944"/>
        <w:rPr>
          <w:b/>
          <w:bCs/>
        </w:rPr>
      </w:pPr>
      <w:r w:rsidRPr="00837D3D">
        <w:rPr>
          <w:i/>
          <w:iCs/>
        </w:rPr>
        <w:t>Random selection</w:t>
      </w:r>
      <w:r>
        <w:t xml:space="preserve"> of test samples during manufacturing or from the finished PQ run. This is only recommended for attribute data.  For variable data, this sample collection approach</w:t>
      </w:r>
      <w:r>
        <w:t xml:space="preserve"> </w:t>
      </w:r>
      <w:r>
        <w:t>does not provide an adequate picture of process behavior from beginning to end of the PQ run.</w:t>
      </w:r>
    </w:p>
    <w:p w:rsidR="0079527E" w:rsidRPr="008D0AEF" w:rsidP="00837D3D" w14:paraId="4A7B8D76" w14:textId="77777777">
      <w:pPr>
        <w:pStyle w:val="Normal5Indent"/>
        <w:rPr>
          <w:b/>
          <w:bCs/>
        </w:rPr>
      </w:pPr>
      <w:r w:rsidRPr="008D0AEF">
        <w:rPr>
          <w:i/>
          <w:iCs/>
        </w:rPr>
        <w:t>Periodic sampling</w:t>
      </w:r>
      <w:r>
        <w:t xml:space="preserve"> where every n</w:t>
      </w:r>
      <w:r w:rsidRPr="008D0AEF">
        <w:rPr>
          <w:vertAlign w:val="superscript"/>
        </w:rPr>
        <w:t xml:space="preserve">th </w:t>
      </w:r>
      <w:r>
        <w:t xml:space="preserve">unit is selected. For instance, if 30 samples are made per PQ run, and 15 test samples are required, one could collect every </w:t>
      </w:r>
      <w:r w:rsidRPr="00527745">
        <w:t>2</w:t>
      </w:r>
      <w:r w:rsidRPr="008D0AEF">
        <w:rPr>
          <w:vertAlign w:val="superscript"/>
        </w:rPr>
        <w:t xml:space="preserve">nd </w:t>
      </w:r>
      <w:r>
        <w:t>unit.</w:t>
      </w:r>
    </w:p>
    <w:p w:rsidR="0079527E" w:rsidRPr="008D0AEF" w:rsidP="00837D3D" w14:paraId="00EED0D9" w14:textId="77777777">
      <w:pPr>
        <w:pStyle w:val="Normal5Indent"/>
        <w:rPr>
          <w:b/>
          <w:bCs/>
        </w:rPr>
      </w:pPr>
      <w:r w:rsidRPr="008D0AEF">
        <w:rPr>
          <w:i/>
          <w:iCs/>
        </w:rPr>
        <w:t xml:space="preserve">Stratified sampling </w:t>
      </w:r>
      <w:r>
        <w:t>where an equal number of samples is selected from a subset of the manufactured PQ run. For example, 30 samples are made, and the samples are collected in 15 tote pans with 2 units per tote pan. One sample per tote pan is selected randomly to obtain 15 test samples per PQ run</w:t>
      </w:r>
      <w:r w:rsidRPr="00C902C7">
        <w:t>.</w:t>
      </w:r>
    </w:p>
    <w:p w:rsidR="0079527E" w:rsidP="00C2353B" w14:paraId="64CEB44D" w14:textId="77777777">
      <w:pPr>
        <w:spacing w:after="120"/>
        <w:ind w:left="1584"/>
      </w:pPr>
      <w:r w:rsidRPr="00AB5647">
        <w:t>If multiple products are produced simultaneously</w:t>
      </w:r>
      <w:r>
        <w:t>,</w:t>
      </w:r>
      <w:r w:rsidRPr="00AB5647">
        <w:t xml:space="preserve"> for instance in a multi-cavity mold for injection molding, product from </w:t>
      </w:r>
      <w:r>
        <w:t>each</w:t>
      </w:r>
      <w:r w:rsidRPr="00AB5647">
        <w:t xml:space="preserve"> cavit</w:t>
      </w:r>
      <w:r>
        <w:t>y should be measured to provide objective evidence that products are equivalent regardless of cavity.  Alternatively, equivalence can be established and demonstrated during process characterization. If cavities are shown to be equivalent, random samples from all cavities can be collected for PQ.</w:t>
      </w:r>
    </w:p>
    <w:p w:rsidR="0079527E" w:rsidRPr="003C7895" w:rsidP="00C2353B" w14:paraId="68E7D2E6" w14:textId="77777777">
      <w:pPr>
        <w:spacing w:after="120"/>
        <w:ind w:left="1584"/>
      </w:pPr>
      <w:r>
        <w:t>Collected samples must be identified for traceability and stored in an orderly fashion. This step is crucial especially if there is a need to reinspect samples.</w:t>
      </w:r>
    </w:p>
    <w:p w:rsidR="0079527E" w:rsidRPr="00DB12CD" w:rsidP="00837D3D" w14:paraId="2092C08F" w14:textId="77777777">
      <w:pPr>
        <w:pStyle w:val="Heading4"/>
      </w:pPr>
      <w:r w:rsidRPr="00C2353B">
        <w:rPr>
          <w:b/>
          <w:bCs/>
        </w:rPr>
        <w:t>Test Plan</w:t>
      </w:r>
      <w:r w:rsidRPr="00DB12CD">
        <w:t xml:space="preserve">. Describe the test plan. Test samples may be used for more than one test or inspection. For instance, samples could be visually inspected, then measured, and after that destructively tested. The protocol should detail the test sequence and provide a rationale for why it is acceptable to use the same samples for multiple tests. </w:t>
      </w:r>
    </w:p>
    <w:p w:rsidR="0079527E" w:rsidRPr="00837D3D" w:rsidP="00184986" w14:paraId="38F20338" w14:textId="77777777">
      <w:pPr>
        <w:pStyle w:val="Normal5Indent"/>
        <w:numPr>
          <w:ilvl w:val="0"/>
          <w:numId w:val="21"/>
        </w:numPr>
        <w:ind w:left="1944"/>
        <w:rPr>
          <w:b/>
          <w:bCs/>
        </w:rPr>
      </w:pPr>
      <w:r>
        <w:t xml:space="preserve">Each inspection/measurement/test is described in detail. This includes documenting a work instruction for executing the test or alternatively describing the test procedure in the PQ protocol itself. </w:t>
      </w:r>
    </w:p>
    <w:p w:rsidR="0079527E" w:rsidRPr="00181B2C" w:rsidP="00837D3D" w14:paraId="377249F2" w14:textId="77777777">
      <w:pPr>
        <w:pStyle w:val="Normal5Indent"/>
        <w:rPr>
          <w:b/>
          <w:bCs/>
        </w:rPr>
      </w:pPr>
      <w:r>
        <w:t>All measurements and tests must have evidence of test method validation before the PQ protocol execution begins.</w:t>
      </w:r>
    </w:p>
    <w:p w:rsidR="0079527E" w:rsidRPr="00FF3CEB" w:rsidP="00837D3D" w14:paraId="368B9125" w14:textId="77777777">
      <w:pPr>
        <w:pStyle w:val="Normal5Indent"/>
        <w:rPr>
          <w:b/>
          <w:bCs/>
        </w:rPr>
      </w:pPr>
      <w:r>
        <w:t>All measurement equipment used in the testing of PQ samples must be qualified.</w:t>
      </w:r>
    </w:p>
    <w:p w:rsidR="0079527E" w:rsidRPr="00A855F3" w:rsidP="00837D3D" w14:paraId="234C162E" w14:textId="77777777">
      <w:pPr>
        <w:pStyle w:val="Heading3"/>
        <w:rPr>
          <w:b/>
        </w:rPr>
      </w:pPr>
      <w:r w:rsidRPr="003E1E64">
        <w:rPr>
          <w:b/>
          <w:bCs/>
        </w:rPr>
        <w:t>Data Analysis</w:t>
      </w:r>
      <w:r w:rsidRPr="00DB12CD">
        <w:t>. The</w:t>
      </w:r>
      <w:r>
        <w:t xml:space="preserve"> data analysis method is documented in the protocol. </w:t>
      </w:r>
    </w:p>
    <w:p w:rsidR="0079527E" w:rsidRPr="00527745" w:rsidP="00837D3D" w14:paraId="38FB9F1B" w14:textId="77777777">
      <w:pPr>
        <w:pStyle w:val="Heading4"/>
        <w:rPr>
          <w:b/>
          <w:bCs/>
        </w:rPr>
      </w:pPr>
      <w:r>
        <w:t xml:space="preserve">Attribute data does not require an analysis. The number of test failures are counted, and if the number of failures is greater than what the sampling plan allows, the study fails. Otherwise, the study passes. </w:t>
      </w:r>
      <w:r w:rsidRPr="00C8714C">
        <w:t xml:space="preserve">The default sampling plans in this guideline for </w:t>
      </w:r>
      <w:r>
        <w:t>P</w:t>
      </w:r>
      <w:r w:rsidRPr="00C8714C">
        <w:t xml:space="preserve">Q allow 0 failures. Therefore, </w:t>
      </w:r>
      <w:r>
        <w:t>even one</w:t>
      </w:r>
      <w:r w:rsidRPr="00C8714C">
        <w:t xml:space="preserve"> failure results in a failing </w:t>
      </w:r>
      <w:r>
        <w:t>P</w:t>
      </w:r>
      <w:r w:rsidRPr="00C8714C">
        <w:t>Q.</w:t>
      </w:r>
    </w:p>
    <w:p w:rsidR="0079527E" w:rsidRPr="00527745" w:rsidP="00837D3D" w14:paraId="281391B9" w14:textId="3CEF97B7">
      <w:pPr>
        <w:pStyle w:val="Heading4"/>
        <w:rPr>
          <w:b/>
          <w:bCs/>
        </w:rPr>
      </w:pPr>
      <w:r>
        <w:t>Variable sampling plans require that data follow the normal distribution. Therefore, data must be tested for normality. If the normality test fails, the reason for nonnormality must be investigated. Refer to chapter 1</w:t>
      </w:r>
      <w:r w:rsidR="00367D12">
        <w:t>3</w:t>
      </w:r>
      <w:r>
        <w:t xml:space="preserve"> for guidance on testing normality with Minitab.</w:t>
      </w:r>
    </w:p>
    <w:p w:rsidR="0079527E" w:rsidRPr="00E23528" w:rsidP="00837D3D" w14:paraId="11CA218E" w14:textId="2048A210">
      <w:pPr>
        <w:pStyle w:val="Heading4"/>
        <w:rPr>
          <w:b/>
          <w:bCs/>
        </w:rPr>
      </w:pPr>
      <w:r>
        <w:t xml:space="preserve">If the normality test passes, calculate sample mean and sample standard deviation and follow the calculations presented in chapter </w:t>
      </w:r>
      <w:r w:rsidR="00367D12">
        <w:t>11</w:t>
      </w:r>
      <w:r>
        <w:t xml:space="preserve"> for each sampling plan. Compare the calculated Ppk</w:t>
      </w:r>
      <w:r w:rsidRPr="00527745">
        <w:rPr>
          <w:vertAlign w:val="subscript"/>
        </w:rPr>
        <w:t xml:space="preserve"> </w:t>
      </w:r>
      <w:r>
        <w:t>and P</w:t>
      </w:r>
      <w:r w:rsidRPr="00DC0980">
        <w:t>p</w:t>
      </w:r>
      <w:r>
        <w:t xml:space="preserve"> values to the sampling plan’s criteria. If the calculated </w:t>
      </w:r>
      <w:r w:rsidRPr="00527745">
        <w:t>P</w:t>
      </w:r>
      <w:r w:rsidRPr="00DC0980">
        <w:t>pk</w:t>
      </w:r>
      <w:r>
        <w:t>/</w:t>
      </w:r>
      <w:r w:rsidRPr="00DC0980">
        <w:t>Pp</w:t>
      </w:r>
      <w:r>
        <w:t xml:space="preserve"> values are equal to or greater than the sampling plan’s criteria, the requirement for the process output is met.</w:t>
      </w:r>
    </w:p>
    <w:p w:rsidR="0079527E" w:rsidRPr="00DB12CD" w:rsidP="00837D3D" w14:paraId="1275F2AC" w14:textId="77777777">
      <w:pPr>
        <w:pStyle w:val="Heading3"/>
        <w:rPr>
          <w:bCs/>
        </w:rPr>
      </w:pPr>
      <w:r w:rsidRPr="003E1E64">
        <w:rPr>
          <w:b/>
          <w:bCs/>
        </w:rPr>
        <w:t>Disposition of Materials</w:t>
      </w:r>
      <w:r w:rsidRPr="00DB12CD">
        <w:t>: Describe how the materials that are used to build PQ samples and the PQ samples are dispositioned. PQ samples may be used for design verification or design validation testing or may be released for commercial sale after the process validation meets validation requirements and product release criteria, and after the PQ report is approved.</w:t>
      </w:r>
    </w:p>
    <w:p w:rsidR="0079527E" w:rsidRPr="00DB12CD" w:rsidP="00837D3D" w14:paraId="51EB58CC" w14:textId="77777777">
      <w:pPr>
        <w:pStyle w:val="Heading3"/>
        <w:rPr>
          <w:bCs/>
        </w:rPr>
      </w:pPr>
      <w:r w:rsidRPr="003E1E64">
        <w:rPr>
          <w:b/>
          <w:bCs/>
        </w:rPr>
        <w:t>Disposition of Deviations</w:t>
      </w:r>
      <w:r w:rsidRPr="00DB12CD">
        <w:t xml:space="preserve"> (report only). Each deviation from the protocol must be addressed in the report. A rationale is provided for each deviation explaining why the deviation is acceptable. If the deviation is not acceptable, the PQ study fails.</w:t>
      </w:r>
    </w:p>
    <w:p w:rsidR="0079527E" w:rsidRPr="00D171F8" w:rsidP="00837D3D" w14:paraId="24010551" w14:textId="7FA70BF8">
      <w:pPr>
        <w:pStyle w:val="Heading3"/>
        <w:rPr>
          <w:b/>
        </w:rPr>
      </w:pPr>
      <w:r w:rsidRPr="003E1E64">
        <w:rPr>
          <w:b/>
          <w:bCs/>
        </w:rPr>
        <w:t>Conclusion</w:t>
      </w:r>
      <w:r w:rsidRPr="00DB12CD">
        <w:t xml:space="preserve"> (report only). The conclusion is provided in the PQ report. Conclusion is either pass or fail. The PQ study fails</w:t>
      </w:r>
      <w:r>
        <w:t xml:space="preserve"> if one or more deviations are not accepted or if any of the acceptance criteria or requirements are not met. At least three consecutive PQ runs must pass for the PQ study to pass.</w:t>
      </w:r>
      <w:r>
        <w:t xml:space="preserve"> </w:t>
      </w:r>
      <w:r>
        <w:t>Each executed test must meet acceptance criteria and predetermined specifications.</w:t>
      </w:r>
    </w:p>
    <w:p w:rsidR="0079527E" w:rsidRPr="00EF79FC" w:rsidP="00A61F37" w14:paraId="5635B131" w14:textId="77777777">
      <w:pPr>
        <w:pStyle w:val="Heading1"/>
      </w:pPr>
      <w:bookmarkStart w:id="81" w:name="_Toc166687350"/>
      <w:r>
        <w:t xml:space="preserve"> </w:t>
      </w:r>
      <w:bookmarkStart w:id="82" w:name="_Toc188651148"/>
      <w:bookmarkStart w:id="83" w:name="_Toc256000033"/>
      <w:r w:rsidRPr="005D6E81">
        <w:t>Test Method Validation</w:t>
      </w:r>
      <w:bookmarkEnd w:id="83"/>
      <w:bookmarkEnd w:id="64"/>
      <w:bookmarkEnd w:id="81"/>
      <w:bookmarkEnd w:id="82"/>
    </w:p>
    <w:p w:rsidR="00D171F8" w:rsidP="00D171F8" w14:paraId="1E74EA98" w14:textId="77777777">
      <w:pPr>
        <w:rPr>
          <w:color w:val="000000" w:themeColor="text1"/>
        </w:rPr>
      </w:pPr>
      <w:r w:rsidRPr="00604BCB">
        <w:rPr>
          <w:color w:val="000000" w:themeColor="text1"/>
        </w:rPr>
        <w:t xml:space="preserve">Test method validation is required for acceptance activities </w:t>
      </w:r>
      <w:r>
        <w:rPr>
          <w:color w:val="000000" w:themeColor="text1"/>
        </w:rPr>
        <w:t>for process validation as outlined below. The same test methods must be used for process validation and routine production.</w:t>
      </w:r>
    </w:p>
    <w:p w:rsidR="00D171F8" w:rsidRPr="00604BCB" w:rsidP="00D171F8" w14:paraId="065878BA" w14:textId="77777777">
      <w:pPr>
        <w:rPr>
          <w:color w:val="000000" w:themeColor="text1"/>
        </w:rPr>
      </w:pPr>
    </w:p>
    <w:p w:rsidR="00D171F8" w:rsidP="00D171F8" w14:paraId="0B1C3132" w14:textId="77777777">
      <w:pPr>
        <w:rPr>
          <w:color w:val="000000" w:themeColor="text1"/>
        </w:rPr>
      </w:pPr>
      <w:r w:rsidRPr="00604BCB">
        <w:rPr>
          <w:color w:val="000000" w:themeColor="text1"/>
        </w:rPr>
        <w:t xml:space="preserve">Measurement variation caused by the measurement process can result in </w:t>
      </w:r>
      <w:r>
        <w:rPr>
          <w:color w:val="000000" w:themeColor="text1"/>
        </w:rPr>
        <w:t>the</w:t>
      </w:r>
      <w:r w:rsidRPr="00604BCB">
        <w:rPr>
          <w:color w:val="000000" w:themeColor="text1"/>
        </w:rPr>
        <w:t xml:space="preserve"> release of non-conforming products and must be reduced to an acceptable level. Common sources of variation are shown in the image below. Measurement variation consists of precision and accuracy error</w:t>
      </w:r>
      <w:r>
        <w:rPr>
          <w:color w:val="000000" w:themeColor="text1"/>
        </w:rPr>
        <w:t>s</w:t>
      </w:r>
      <w:r w:rsidRPr="00604BCB">
        <w:rPr>
          <w:color w:val="000000" w:themeColor="text1"/>
        </w:rPr>
        <w:t>.</w:t>
      </w:r>
      <w:r>
        <w:rPr>
          <w:color w:val="000000" w:themeColor="text1"/>
        </w:rPr>
        <w:t xml:space="preserve"> Figure 8 shows the typical sources of measurement variation.</w:t>
      </w:r>
    </w:p>
    <w:p w:rsidR="00D171F8" w:rsidRPr="00604BCB" w:rsidP="00D171F8" w14:paraId="5397F26D" w14:textId="77777777">
      <w:pPr>
        <w:rPr>
          <w:color w:val="000000" w:themeColor="text1"/>
        </w:rPr>
      </w:pPr>
    </w:p>
    <w:p w:rsidR="00FB2312" w:rsidP="00FB2312" w14:paraId="4234432D" w14:textId="77777777">
      <w:pPr>
        <w:keepNext/>
      </w:pPr>
      <w:r>
        <w:rPr>
          <w:noProof/>
          <w:color w:val="FF0000"/>
        </w:rPr>
        <w:drawing>
          <wp:inline distT="0" distB="0" distL="0" distR="0">
            <wp:extent cx="5629275" cy="2956887"/>
            <wp:effectExtent l="0" t="0" r="0" b="0"/>
            <wp:docPr id="1262846193" name="Picture 1" descr="A diagram of measurement vari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46193" name="Picture 1" descr="A diagram of measurement variation&#10;&#10;Description automatically generated"/>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9319" cy="2962163"/>
                    </a:xfrm>
                    <a:prstGeom prst="rect">
                      <a:avLst/>
                    </a:prstGeom>
                    <a:noFill/>
                  </pic:spPr>
                </pic:pic>
              </a:graphicData>
            </a:graphic>
          </wp:inline>
        </w:drawing>
      </w:r>
    </w:p>
    <w:p w:rsidR="00D171F8" w:rsidP="00FB2312" w14:paraId="073C2055" w14:textId="38F3F74A">
      <w:pPr>
        <w:pStyle w:val="Caption"/>
        <w:rPr>
          <w:color w:val="FF0000"/>
        </w:rPr>
      </w:pPr>
      <w:r>
        <w:t xml:space="preserve">Figure 8: </w:t>
      </w:r>
      <w:r w:rsidRPr="00C2066E">
        <w:t>Sources of measurement variation. Accuracy Error is typically represented by the bias established during calibration.</w:t>
      </w:r>
    </w:p>
    <w:p w:rsidR="00D171F8" w:rsidP="00D171F8" w14:paraId="54F60D71" w14:textId="77777777">
      <w:pPr>
        <w:rPr>
          <w:color w:val="000000" w:themeColor="text1"/>
        </w:rPr>
      </w:pPr>
      <w:r>
        <w:rPr>
          <w:color w:val="000000" w:themeColor="text1"/>
        </w:rPr>
        <w:t>Test methods used for process characterization, OQ, and PQ must be validated. Inspections of non-CQAs during process characterization, OQ, and PQ do not require TMV but measurement instruments with an Accuracy to Tolerance ratio of 25 or less must be used.</w:t>
      </w:r>
    </w:p>
    <w:p w:rsidR="00D171F8" w:rsidP="00D171F8" w14:paraId="7E6E8914" w14:textId="77777777">
      <w:pPr>
        <w:rPr>
          <w:color w:val="000000" w:themeColor="text1"/>
        </w:rPr>
      </w:pPr>
    </w:p>
    <w:p w:rsidR="00D171F8" w:rsidP="00D171F8" w14:paraId="718DCD15" w14:textId="77777777">
      <w:pPr>
        <w:rPr>
          <w:color w:val="000000" w:themeColor="text1"/>
        </w:rPr>
      </w:pPr>
      <w:r>
        <w:rPr>
          <w:color w:val="000000" w:themeColor="text1"/>
        </w:rPr>
        <w:t>For more information on TMV execution refer to the global Test Method Validation Procedure.</w:t>
      </w:r>
    </w:p>
    <w:p w:rsidR="006832E9" w:rsidP="00464AC9" w14:paraId="71446E0E" w14:textId="77777777">
      <w:pPr>
        <w:rPr>
          <w:rFonts w:ascii="Calibri" w:hAnsi="Calibri" w:cs="Calibri"/>
          <w:color w:val="0070C0"/>
          <w:sz w:val="24"/>
          <w:szCs w:val="24"/>
        </w:rPr>
      </w:pPr>
    </w:p>
    <w:p w:rsidR="00D171F8" w:rsidP="00A61F37" w14:paraId="7A2DDEEA" w14:textId="77777777">
      <w:pPr>
        <w:pStyle w:val="Heading1"/>
      </w:pPr>
      <w:bookmarkStart w:id="84" w:name="_Toc165541807"/>
      <w:bookmarkStart w:id="85" w:name="_Toc166687351"/>
      <w:bookmarkStart w:id="86" w:name="_Toc188651149"/>
      <w:bookmarkStart w:id="87" w:name="_Toc256000034"/>
      <w:r w:rsidRPr="005D6E81">
        <w:t>Sampling Plans for Process Validation</w:t>
      </w:r>
      <w:bookmarkEnd w:id="87"/>
      <w:bookmarkEnd w:id="84"/>
      <w:bookmarkEnd w:id="85"/>
      <w:bookmarkEnd w:id="86"/>
    </w:p>
    <w:p w:rsidR="00D171F8" w:rsidRPr="00221F73" w:rsidP="00D171F8" w14:paraId="4CCDC200" w14:textId="77777777">
      <w:pPr>
        <w:rPr>
          <w:color w:val="000000" w:themeColor="text1"/>
        </w:rPr>
      </w:pPr>
      <w:r>
        <w:t xml:space="preserve">Operational Qualification (OQ) and Performance Qualification (PQ) are confirmatory studies that make pass/fail decisions on whether each requirement is met. This requires the use of sampling plans. When demonstrating that requirements are met, the appropriate statistical </w:t>
      </w:r>
      <w:r w:rsidRPr="009B5A3C">
        <w:t xml:space="preserve">property should be used. In this </w:t>
      </w:r>
      <w:r>
        <w:rPr>
          <w:color w:val="000000" w:themeColor="text1"/>
        </w:rPr>
        <w:t>guideline</w:t>
      </w:r>
      <w:r w:rsidRPr="002A4D27">
        <w:rPr>
          <w:color w:val="000000" w:themeColor="text1"/>
        </w:rPr>
        <w:t>, the statistical property “Proportion Conforming” is described.</w:t>
      </w:r>
    </w:p>
    <w:p w:rsidR="00D171F8" w:rsidP="00EE1EA6" w14:paraId="0C9851BF" w14:textId="57A2131A">
      <w:pPr>
        <w:pStyle w:val="Heading2"/>
      </w:pPr>
      <w:bookmarkStart w:id="88" w:name="_Toc166687352"/>
      <w:bookmarkStart w:id="89" w:name="_Toc188651150"/>
      <w:bookmarkStart w:id="90" w:name="_Toc256000035"/>
      <w:r w:rsidRPr="006F1815">
        <w:t>Risk-Based Sampling Plans</w:t>
      </w:r>
      <w:bookmarkEnd w:id="90"/>
      <w:bookmarkEnd w:id="88"/>
      <w:bookmarkEnd w:id="89"/>
    </w:p>
    <w:p w:rsidR="00D171F8" w:rsidP="008A2BC7" w14:paraId="4A84B466" w14:textId="77777777">
      <w:r>
        <w:t>Sampling plans are risk-based meaning that the required Proportion Conforming increases a</w:t>
      </w:r>
      <w:r w:rsidRPr="005D6E81">
        <w:t xml:space="preserve">s </w:t>
      </w:r>
      <w:r>
        <w:t>the S</w:t>
      </w:r>
      <w:r w:rsidRPr="005D6E81">
        <w:t>everity</w:t>
      </w:r>
      <w:r>
        <w:t xml:space="preserve"> of Harm (SOH) or Severity of Effect (SOE) for a quality attribute increase.  </w:t>
      </w:r>
    </w:p>
    <w:p w:rsidR="00D171F8" w:rsidRPr="005D6E81" w:rsidP="00EE1EA6" w14:paraId="600986BE" w14:textId="59BA687D">
      <w:pPr>
        <w:pStyle w:val="Heading2"/>
      </w:pPr>
      <w:bookmarkStart w:id="91" w:name="_Toc188651151"/>
      <w:bookmarkStart w:id="92" w:name="_Toc256000036"/>
      <w:r>
        <w:t>Sampling Plan Assumptions</w:t>
      </w:r>
      <w:bookmarkEnd w:id="92"/>
      <w:bookmarkEnd w:id="91"/>
    </w:p>
    <w:p w:rsidR="00D171F8" w:rsidRPr="005D6E81" w:rsidP="008A2BC7" w14:paraId="6883111F" w14:textId="77777777">
      <w:r w:rsidRPr="005D6E81">
        <w:t xml:space="preserve">Sampling plans must be based on </w:t>
      </w:r>
      <w:r>
        <w:t xml:space="preserve">valid </w:t>
      </w:r>
      <w:r w:rsidRPr="005D6E81">
        <w:t xml:space="preserve">statistical </w:t>
      </w:r>
      <w:r>
        <w:t>techniques</w:t>
      </w:r>
      <w:r w:rsidRPr="005D6E81">
        <w:t xml:space="preserve"> per 21CFR 820.250 (b). Therefore, the following assumptions must be met when using sampling plans</w:t>
      </w:r>
      <w:r>
        <w:t xml:space="preserve"> for process validation</w:t>
      </w:r>
      <w:r w:rsidRPr="005D6E81">
        <w:t>:</w:t>
      </w:r>
    </w:p>
    <w:p w:rsidR="00D171F8" w:rsidP="00837D3D" w14:paraId="0734B3E6" w14:textId="77777777">
      <w:pPr>
        <w:pStyle w:val="Heading3"/>
      </w:pPr>
      <w:r>
        <w:t>S</w:t>
      </w:r>
      <w:r w:rsidRPr="005D6E81">
        <w:t xml:space="preserve">amples </w:t>
      </w:r>
      <w:r>
        <w:t xml:space="preserve">collected from OQ and PQ runs </w:t>
      </w:r>
      <w:r w:rsidRPr="005D6E81">
        <w:t>are representative samples. A representative sample is one that does not systematically differ from other samples</w:t>
      </w:r>
      <w:r>
        <w:t xml:space="preserve"> </w:t>
      </w:r>
      <w:r w:rsidRPr="005D6E81">
        <w:t>built during the OQ or PQ runs.</w:t>
      </w:r>
      <w:r>
        <w:t xml:space="preserve"> </w:t>
      </w:r>
    </w:p>
    <w:p w:rsidR="00D171F8" w:rsidP="00837D3D" w14:paraId="0BE625AC" w14:textId="77777777">
      <w:pPr>
        <w:pStyle w:val="Heading3"/>
      </w:pPr>
      <w:r w:rsidRPr="000F1773">
        <w:t xml:space="preserve">Samples collected for testing against requirements must be representative of the entire population, meaning the future products made. Therefore, OQ and PQ runs must run long enough or produce enough </w:t>
      </w:r>
      <w:r>
        <w:t>part</w:t>
      </w:r>
      <w:r w:rsidRPr="000F1773">
        <w:t>s</w:t>
      </w:r>
      <w:r>
        <w:t>/products</w:t>
      </w:r>
      <w:r w:rsidRPr="000F1773">
        <w:t xml:space="preserve"> to capture the normal (common cause) process variation that is expected in routine production. </w:t>
      </w:r>
    </w:p>
    <w:p w:rsidR="00D171F8" w:rsidRPr="00C27A12" w:rsidP="00837D3D" w14:paraId="173FE3EB" w14:textId="77777777">
      <w:pPr>
        <w:pStyle w:val="Heading3"/>
      </w:pPr>
      <w:r w:rsidRPr="00C27A12">
        <w:t>For PQ, the product should be produced under all anticipated conditions of (future) routine manufacturing</w:t>
      </w:r>
      <w:r>
        <w:t>.</w:t>
      </w:r>
    </w:p>
    <w:p w:rsidR="00D171F8" w:rsidP="00837D3D" w14:paraId="09177D33" w14:textId="062CF590">
      <w:pPr>
        <w:pStyle w:val="Heading3"/>
      </w:pPr>
      <w:r>
        <w:t>Variable sampling plans assume that the test data follow the normal distribution. Therefore, a normality test must be performed before analyzing variable data.  Refer to chapter 1</w:t>
      </w:r>
      <w:r w:rsidR="00367D12">
        <w:t>3</w:t>
      </w:r>
      <w:r>
        <w:t xml:space="preserve"> for an example of a normality test.</w:t>
      </w:r>
    </w:p>
    <w:p w:rsidR="00D171F8" w:rsidP="00EE1EA6" w14:paraId="652AC44C" w14:textId="345B88DC">
      <w:pPr>
        <w:pStyle w:val="Heading2"/>
      </w:pPr>
      <w:bookmarkStart w:id="93" w:name="_Toc188651152"/>
      <w:bookmarkStart w:id="94" w:name="_Toc256000037"/>
      <w:r>
        <w:t>Confidence and Reliability</w:t>
      </w:r>
      <w:bookmarkEnd w:id="94"/>
      <w:bookmarkEnd w:id="93"/>
    </w:p>
    <w:p w:rsidR="00D171F8" w:rsidP="00837D3D" w14:paraId="34B98F59" w14:textId="77777777">
      <w:pPr>
        <w:pStyle w:val="Heading3"/>
      </w:pPr>
      <w:r>
        <w:t>95% Confidence will be used for all variable and attribute Philips sampling plans unless otherwise stated in this guideline.</w:t>
      </w:r>
    </w:p>
    <w:p w:rsidR="00D171F8" w:rsidP="00837D3D" w14:paraId="4DBD06D9" w14:textId="77777777">
      <w:pPr>
        <w:pStyle w:val="Heading3"/>
      </w:pPr>
      <w:r>
        <w:t xml:space="preserve">For visual inspections, 90% confidence can be used when multiple CQAs are inspected at once, meaning a unit is nonconforming if it has one or more visual defect types. </w:t>
      </w:r>
    </w:p>
    <w:p w:rsidR="00D171F8" w:rsidP="00837D3D" w14:paraId="67BC918A" w14:textId="77777777">
      <w:pPr>
        <w:pStyle w:val="Heading3"/>
      </w:pPr>
      <w:r>
        <w:t>The ‘Proportion Conforming’ is validated to meet the levels of Table 9 which are based on risk levels defined in the Philips Risk Management process. Percent conforming is equivalent to the percent reliability of the process.</w:t>
      </w:r>
    </w:p>
    <w:p w:rsidR="00D171F8" w:rsidRPr="00181B2C" w:rsidP="00CF49A8" w14:paraId="4CEEDED0" w14:textId="7362EBA5">
      <w:pPr>
        <w:rPr>
          <w:sz w:val="20"/>
          <w:szCs w:val="18"/>
        </w:rPr>
      </w:pPr>
    </w:p>
    <w:tbl>
      <w:tblPr>
        <w:tblStyle w:val="TableGrid"/>
        <w:tblW w:w="0" w:type="auto"/>
        <w:tblLook w:val="04A0"/>
      </w:tblPr>
      <w:tblGrid>
        <w:gridCol w:w="3744"/>
        <w:gridCol w:w="1859"/>
        <w:gridCol w:w="1861"/>
      </w:tblGrid>
      <w:tr w14:paraId="6C23B1E3" w14:textId="77777777" w:rsidTr="00CF49A8">
        <w:tblPrEx>
          <w:tblW w:w="0" w:type="auto"/>
          <w:tblLook w:val="04A0"/>
        </w:tblPrEx>
        <w:trPr>
          <w:tblHeader/>
        </w:trPr>
        <w:tc>
          <w:tcPr>
            <w:tcW w:w="3744" w:type="dxa"/>
            <w:shd w:val="clear" w:color="auto" w:fill="FFCC66"/>
            <w:vAlign w:val="center"/>
          </w:tcPr>
          <w:p w:rsidR="00D171F8" w:rsidRPr="00633C61" w:rsidP="005C08EE" w14:paraId="02E6B825" w14:textId="77777777">
            <w:pPr>
              <w:rPr>
                <w:b/>
                <w:vertAlign w:val="superscript"/>
              </w:rPr>
            </w:pPr>
            <w:r w:rsidRPr="00633C61">
              <w:rPr>
                <w:b/>
              </w:rPr>
              <w:t>Criticality, Severity of Harm (SOH), Severity of Effect (SOE)</w:t>
            </w:r>
            <w:r w:rsidRPr="00633C61">
              <w:rPr>
                <w:b/>
                <w:vertAlign w:val="superscript"/>
              </w:rPr>
              <w:t xml:space="preserve"> [1]</w:t>
            </w:r>
          </w:p>
        </w:tc>
        <w:tc>
          <w:tcPr>
            <w:tcW w:w="1859" w:type="dxa"/>
            <w:shd w:val="clear" w:color="auto" w:fill="C1E5FF" w:themeFill="accent1" w:themeFillTint="33"/>
            <w:vAlign w:val="center"/>
          </w:tcPr>
          <w:p w:rsidR="00D171F8" w:rsidRPr="00633C61" w:rsidP="005C08EE" w14:paraId="68330A1A" w14:textId="77777777">
            <w:pPr>
              <w:rPr>
                <w:b/>
              </w:rPr>
            </w:pPr>
            <w:r w:rsidRPr="00633C61">
              <w:rPr>
                <w:b/>
              </w:rPr>
              <w:t>PQ</w:t>
            </w:r>
          </w:p>
          <w:p w:rsidR="00D171F8" w:rsidRPr="00633C61" w:rsidP="005C08EE" w14:paraId="09177D2A" w14:textId="77777777">
            <w:pPr>
              <w:rPr>
                <w:b/>
              </w:rPr>
            </w:pPr>
            <w:r w:rsidRPr="00633C61">
              <w:rPr>
                <w:b/>
              </w:rPr>
              <w:t>(Reliability)</w:t>
            </w:r>
          </w:p>
        </w:tc>
        <w:tc>
          <w:tcPr>
            <w:tcW w:w="1861" w:type="dxa"/>
            <w:shd w:val="clear" w:color="auto" w:fill="C4F6D2" w:themeFill="accent3" w:themeFillTint="33"/>
            <w:vAlign w:val="center"/>
          </w:tcPr>
          <w:p w:rsidR="00D171F8" w:rsidRPr="00633C61" w:rsidP="005C08EE" w14:paraId="65296615" w14:textId="77777777">
            <w:pPr>
              <w:rPr>
                <w:b/>
              </w:rPr>
            </w:pPr>
            <w:r w:rsidRPr="00633C61">
              <w:rPr>
                <w:b/>
              </w:rPr>
              <w:t>OQ</w:t>
            </w:r>
          </w:p>
          <w:p w:rsidR="00D171F8" w:rsidRPr="00633C61" w:rsidP="005C08EE" w14:paraId="003E2BD1" w14:textId="77777777">
            <w:pPr>
              <w:rPr>
                <w:b/>
                <w:vertAlign w:val="superscript"/>
              </w:rPr>
            </w:pPr>
            <w:r w:rsidRPr="00633C61">
              <w:rPr>
                <w:b/>
              </w:rPr>
              <w:t>(Reliability)</w:t>
            </w:r>
            <w:r w:rsidRPr="00633C61">
              <w:rPr>
                <w:b/>
                <w:vertAlign w:val="superscript"/>
              </w:rPr>
              <w:t xml:space="preserve"> [2]</w:t>
            </w:r>
          </w:p>
        </w:tc>
      </w:tr>
      <w:tr w14:paraId="06D9D138" w14:textId="77777777" w:rsidTr="00CF49A8">
        <w:tblPrEx>
          <w:tblW w:w="0" w:type="auto"/>
          <w:tblLook w:val="04A0"/>
        </w:tblPrEx>
        <w:tc>
          <w:tcPr>
            <w:tcW w:w="3744" w:type="dxa"/>
            <w:vAlign w:val="center"/>
          </w:tcPr>
          <w:p w:rsidR="00D171F8" w:rsidRPr="00633C61" w:rsidP="005C08EE" w14:paraId="306C3DD0" w14:textId="77777777">
            <w:pPr>
              <w:rPr>
                <w:bCs/>
              </w:rPr>
            </w:pPr>
            <w:r w:rsidRPr="00633C61">
              <w:rPr>
                <w:bCs/>
              </w:rPr>
              <w:t>CTS-S4</w:t>
            </w:r>
          </w:p>
        </w:tc>
        <w:tc>
          <w:tcPr>
            <w:tcW w:w="1859" w:type="dxa"/>
            <w:vAlign w:val="center"/>
          </w:tcPr>
          <w:p w:rsidR="00D171F8" w:rsidRPr="00633C61" w:rsidP="005C08EE" w14:paraId="438C2F73" w14:textId="77777777">
            <w:pPr>
              <w:rPr>
                <w:bCs/>
              </w:rPr>
            </w:pPr>
            <w:r w:rsidRPr="00633C61">
              <w:rPr>
                <w:bCs/>
              </w:rPr>
              <w:t>99%</w:t>
            </w:r>
          </w:p>
        </w:tc>
        <w:tc>
          <w:tcPr>
            <w:tcW w:w="1861" w:type="dxa"/>
            <w:vAlign w:val="center"/>
          </w:tcPr>
          <w:p w:rsidR="00D171F8" w:rsidRPr="00633C61" w:rsidP="005C08EE" w14:paraId="74053547" w14:textId="77777777">
            <w:pPr>
              <w:rPr>
                <w:bCs/>
              </w:rPr>
            </w:pPr>
            <w:r w:rsidRPr="00633C61">
              <w:rPr>
                <w:bCs/>
              </w:rPr>
              <w:t>95%</w:t>
            </w:r>
          </w:p>
        </w:tc>
      </w:tr>
      <w:tr w14:paraId="182ED26A" w14:textId="77777777" w:rsidTr="00CF49A8">
        <w:tblPrEx>
          <w:tblW w:w="0" w:type="auto"/>
          <w:tblLook w:val="04A0"/>
        </w:tblPrEx>
        <w:tc>
          <w:tcPr>
            <w:tcW w:w="3744" w:type="dxa"/>
            <w:vAlign w:val="center"/>
          </w:tcPr>
          <w:p w:rsidR="00D171F8" w:rsidRPr="00633C61" w:rsidP="005C08EE" w14:paraId="6D3BFE86" w14:textId="77777777">
            <w:pPr>
              <w:rPr>
                <w:bCs/>
              </w:rPr>
            </w:pPr>
            <w:r w:rsidRPr="00633C61">
              <w:rPr>
                <w:bCs/>
              </w:rPr>
              <w:t>CTS-S3</w:t>
            </w:r>
          </w:p>
        </w:tc>
        <w:tc>
          <w:tcPr>
            <w:tcW w:w="1859" w:type="dxa"/>
            <w:vAlign w:val="center"/>
          </w:tcPr>
          <w:p w:rsidR="00D171F8" w:rsidRPr="00633C61" w:rsidP="005C08EE" w14:paraId="31A048D3" w14:textId="77777777">
            <w:pPr>
              <w:rPr>
                <w:bCs/>
              </w:rPr>
            </w:pPr>
            <w:r w:rsidRPr="00633C61">
              <w:rPr>
                <w:bCs/>
              </w:rPr>
              <w:t>97%</w:t>
            </w:r>
          </w:p>
        </w:tc>
        <w:tc>
          <w:tcPr>
            <w:tcW w:w="1861" w:type="dxa"/>
            <w:vAlign w:val="center"/>
          </w:tcPr>
          <w:p w:rsidR="00D171F8" w:rsidRPr="00633C61" w:rsidP="005C08EE" w14:paraId="6D16A117" w14:textId="77777777">
            <w:pPr>
              <w:rPr>
                <w:bCs/>
              </w:rPr>
            </w:pPr>
            <w:r w:rsidRPr="00633C61">
              <w:rPr>
                <w:bCs/>
              </w:rPr>
              <w:t>93.5%</w:t>
            </w:r>
          </w:p>
        </w:tc>
      </w:tr>
      <w:tr w14:paraId="64CFA478" w14:textId="77777777" w:rsidTr="00CF49A8">
        <w:tblPrEx>
          <w:tblW w:w="0" w:type="auto"/>
          <w:tblLook w:val="04A0"/>
        </w:tblPrEx>
        <w:tc>
          <w:tcPr>
            <w:tcW w:w="3744" w:type="dxa"/>
            <w:vAlign w:val="center"/>
          </w:tcPr>
          <w:p w:rsidR="00D171F8" w:rsidRPr="00633C61" w:rsidP="005C08EE" w14:paraId="574AE514" w14:textId="77777777">
            <w:pPr>
              <w:rPr>
                <w:bCs/>
              </w:rPr>
            </w:pPr>
            <w:r w:rsidRPr="00633C61">
              <w:rPr>
                <w:bCs/>
              </w:rPr>
              <w:t>CTS-S2</w:t>
            </w:r>
          </w:p>
          <w:p w:rsidR="00D171F8" w:rsidP="005C08EE" w14:paraId="58BB8456" w14:textId="77777777">
            <w:pPr>
              <w:rPr>
                <w:bCs/>
              </w:rPr>
            </w:pPr>
            <w:r w:rsidRPr="00633C61">
              <w:rPr>
                <w:bCs/>
              </w:rPr>
              <w:t>CTQ-SEV8</w:t>
            </w:r>
          </w:p>
          <w:p w:rsidR="0061015F" w:rsidRPr="00633C61" w:rsidP="005C08EE" w14:paraId="6F430F6C" w14:textId="5D179167">
            <w:pPr>
              <w:rPr>
                <w:bCs/>
              </w:rPr>
            </w:pPr>
            <w:r>
              <w:rPr>
                <w:bCs/>
              </w:rPr>
              <w:t>CTQ-S</w:t>
            </w:r>
          </w:p>
        </w:tc>
        <w:tc>
          <w:tcPr>
            <w:tcW w:w="1859" w:type="dxa"/>
            <w:vAlign w:val="center"/>
          </w:tcPr>
          <w:p w:rsidR="00D171F8" w:rsidRPr="00633C61" w:rsidP="005C08EE" w14:paraId="7AB3964C" w14:textId="77777777">
            <w:pPr>
              <w:rPr>
                <w:bCs/>
              </w:rPr>
            </w:pPr>
            <w:r w:rsidRPr="00633C61">
              <w:rPr>
                <w:bCs/>
              </w:rPr>
              <w:t>95%</w:t>
            </w:r>
          </w:p>
        </w:tc>
        <w:tc>
          <w:tcPr>
            <w:tcW w:w="1861" w:type="dxa"/>
            <w:vAlign w:val="center"/>
          </w:tcPr>
          <w:p w:rsidR="00D171F8" w:rsidRPr="00633C61" w:rsidP="005C08EE" w14:paraId="5699C962" w14:textId="77777777">
            <w:pPr>
              <w:rPr>
                <w:bCs/>
              </w:rPr>
            </w:pPr>
            <w:r w:rsidRPr="00633C61">
              <w:rPr>
                <w:bCs/>
              </w:rPr>
              <w:t>90%</w:t>
            </w:r>
          </w:p>
        </w:tc>
      </w:tr>
      <w:tr w14:paraId="2B6E6670" w14:textId="77777777" w:rsidTr="00CF49A8">
        <w:tblPrEx>
          <w:tblW w:w="0" w:type="auto"/>
          <w:tblLook w:val="04A0"/>
        </w:tblPrEx>
        <w:tc>
          <w:tcPr>
            <w:tcW w:w="3744" w:type="dxa"/>
            <w:vAlign w:val="center"/>
          </w:tcPr>
          <w:p w:rsidR="00D171F8" w:rsidRPr="00633C61" w:rsidP="005C08EE" w14:paraId="0CE570B4" w14:textId="77777777">
            <w:pPr>
              <w:rPr>
                <w:bCs/>
              </w:rPr>
            </w:pPr>
            <w:r w:rsidRPr="00633C61">
              <w:rPr>
                <w:bCs/>
              </w:rPr>
              <w:t>CTQ-SEV5</w:t>
            </w:r>
          </w:p>
        </w:tc>
        <w:tc>
          <w:tcPr>
            <w:tcW w:w="1859" w:type="dxa"/>
            <w:vAlign w:val="center"/>
          </w:tcPr>
          <w:p w:rsidR="00D171F8" w:rsidRPr="00633C61" w:rsidP="005C08EE" w14:paraId="59216C73" w14:textId="77777777">
            <w:pPr>
              <w:rPr>
                <w:bCs/>
              </w:rPr>
            </w:pPr>
            <w:r w:rsidRPr="00633C61">
              <w:rPr>
                <w:bCs/>
              </w:rPr>
              <w:t>93.5%</w:t>
            </w:r>
          </w:p>
        </w:tc>
        <w:tc>
          <w:tcPr>
            <w:tcW w:w="1861" w:type="dxa"/>
            <w:vAlign w:val="center"/>
          </w:tcPr>
          <w:p w:rsidR="00D171F8" w:rsidRPr="00633C61" w:rsidP="005C08EE" w14:paraId="724A676B" w14:textId="77777777">
            <w:pPr>
              <w:rPr>
                <w:bCs/>
              </w:rPr>
            </w:pPr>
            <w:r w:rsidRPr="00633C61">
              <w:rPr>
                <w:bCs/>
              </w:rPr>
              <w:t>85%</w:t>
            </w:r>
          </w:p>
        </w:tc>
      </w:tr>
      <w:tr w14:paraId="617074E5" w14:textId="77777777" w:rsidTr="00CF49A8">
        <w:tblPrEx>
          <w:tblW w:w="0" w:type="auto"/>
          <w:tblLook w:val="04A0"/>
        </w:tblPrEx>
        <w:tc>
          <w:tcPr>
            <w:tcW w:w="3744" w:type="dxa"/>
            <w:vAlign w:val="center"/>
          </w:tcPr>
          <w:p w:rsidR="00D171F8" w:rsidRPr="00633C61" w:rsidP="005C08EE" w14:paraId="455CA630" w14:textId="77777777">
            <w:pPr>
              <w:rPr>
                <w:bCs/>
              </w:rPr>
            </w:pPr>
            <w:r w:rsidRPr="00633C61">
              <w:rPr>
                <w:bCs/>
              </w:rPr>
              <w:t>CTQ-SEV3</w:t>
            </w:r>
          </w:p>
          <w:p w:rsidR="00D171F8" w:rsidRPr="00633C61" w:rsidP="005C08EE" w14:paraId="0E604E91" w14:textId="77777777">
            <w:pPr>
              <w:rPr>
                <w:bCs/>
              </w:rPr>
            </w:pPr>
            <w:r w:rsidRPr="00633C61">
              <w:rPr>
                <w:bCs/>
              </w:rPr>
              <w:t>CTQ-SEV1</w:t>
            </w:r>
          </w:p>
          <w:p w:rsidR="00D171F8" w:rsidRPr="00633C61" w:rsidP="005C08EE" w14:paraId="1FB2BCF6" w14:textId="77777777">
            <w:pPr>
              <w:rPr>
                <w:bCs/>
              </w:rPr>
            </w:pPr>
            <w:r w:rsidRPr="00633C61">
              <w:rPr>
                <w:bCs/>
              </w:rPr>
              <w:t>Key Process Indicator</w:t>
            </w:r>
          </w:p>
        </w:tc>
        <w:tc>
          <w:tcPr>
            <w:tcW w:w="1859" w:type="dxa"/>
            <w:vAlign w:val="center"/>
          </w:tcPr>
          <w:p w:rsidR="00D171F8" w:rsidRPr="00633C61" w:rsidP="005C08EE" w14:paraId="2707EA42" w14:textId="77777777">
            <w:pPr>
              <w:rPr>
                <w:bCs/>
              </w:rPr>
            </w:pPr>
            <w:r w:rsidRPr="00633C61">
              <w:rPr>
                <w:bCs/>
              </w:rPr>
              <w:t>90%</w:t>
            </w:r>
          </w:p>
        </w:tc>
        <w:tc>
          <w:tcPr>
            <w:tcW w:w="1861" w:type="dxa"/>
            <w:vAlign w:val="center"/>
          </w:tcPr>
          <w:p w:rsidR="00D171F8" w:rsidRPr="00633C61" w:rsidP="005C08EE" w14:paraId="75B2A4FD" w14:textId="77777777">
            <w:pPr>
              <w:rPr>
                <w:bCs/>
              </w:rPr>
            </w:pPr>
            <w:r w:rsidRPr="00633C61">
              <w:rPr>
                <w:bCs/>
              </w:rPr>
              <w:t>80%</w:t>
            </w:r>
          </w:p>
        </w:tc>
      </w:tr>
      <w:tr w14:paraId="708A49A8" w14:textId="77777777" w:rsidTr="00CF49A8">
        <w:tblPrEx>
          <w:tblW w:w="0" w:type="auto"/>
          <w:tblLook w:val="04A0"/>
        </w:tblPrEx>
        <w:tc>
          <w:tcPr>
            <w:tcW w:w="3744" w:type="dxa"/>
            <w:vAlign w:val="center"/>
          </w:tcPr>
          <w:p w:rsidR="00D171F8" w:rsidP="005C08EE" w14:paraId="3241601E" w14:textId="77777777">
            <w:r>
              <w:t>Non-CTS-S2</w:t>
            </w:r>
          </w:p>
          <w:p w:rsidR="00D171F8" w:rsidRPr="00181B2C" w:rsidP="005C08EE" w14:paraId="11111A18" w14:textId="77777777">
            <w:r w:rsidRPr="00181B2C">
              <w:t>Non-CTS-S</w:t>
            </w:r>
            <w:r>
              <w:t>1</w:t>
            </w:r>
          </w:p>
          <w:p w:rsidR="00D171F8" w:rsidRPr="00A23A99" w:rsidP="005C08EE" w14:paraId="5822D13A" w14:textId="77777777">
            <w:pPr>
              <w:rPr>
                <w:lang w:val="fr-FR"/>
              </w:rPr>
            </w:pPr>
            <w:r w:rsidRPr="00A23A99">
              <w:rPr>
                <w:lang w:val="fr-FR"/>
              </w:rPr>
              <w:t>Non-CTS-S0</w:t>
            </w:r>
          </w:p>
          <w:p w:rsidR="00D171F8" w:rsidRPr="00633C61" w:rsidP="005C08EE" w14:paraId="4AC174FD" w14:textId="77777777">
            <w:pPr>
              <w:rPr>
                <w:bCs/>
                <w:lang w:val="fr-FR"/>
              </w:rPr>
            </w:pPr>
            <w:r w:rsidRPr="00633C61">
              <w:rPr>
                <w:bCs/>
                <w:lang w:val="fr-FR"/>
              </w:rPr>
              <w:t>Non-CTQ SEV8</w:t>
            </w:r>
          </w:p>
          <w:p w:rsidR="00D171F8" w:rsidRPr="00633C61" w:rsidP="005C08EE" w14:paraId="7AB1DC5B" w14:textId="77777777">
            <w:pPr>
              <w:rPr>
                <w:bCs/>
                <w:lang w:val="fr-FR"/>
              </w:rPr>
            </w:pPr>
            <w:r w:rsidRPr="00633C61">
              <w:rPr>
                <w:bCs/>
                <w:lang w:val="fr-FR"/>
              </w:rPr>
              <w:t>Non-CTQ SEV5</w:t>
            </w:r>
          </w:p>
          <w:p w:rsidR="00D171F8" w:rsidRPr="00633C61" w:rsidP="005C08EE" w14:paraId="145F9615" w14:textId="77777777">
            <w:pPr>
              <w:rPr>
                <w:bCs/>
                <w:lang w:val="fr-FR"/>
              </w:rPr>
            </w:pPr>
            <w:r w:rsidRPr="00633C61">
              <w:rPr>
                <w:bCs/>
                <w:lang w:val="fr-FR"/>
              </w:rPr>
              <w:t>Non-CTQ SEV3</w:t>
            </w:r>
          </w:p>
          <w:p w:rsidR="00D171F8" w:rsidRPr="00181B2C" w:rsidP="005C08EE" w14:paraId="320D6365" w14:textId="77777777">
            <w:pPr>
              <w:rPr>
                <w:lang w:val="fr-FR"/>
              </w:rPr>
            </w:pPr>
            <w:r w:rsidRPr="00181B2C">
              <w:rPr>
                <w:lang w:val="fr-FR"/>
              </w:rPr>
              <w:t>Non-CTQ SEV1</w:t>
            </w:r>
          </w:p>
        </w:tc>
        <w:tc>
          <w:tcPr>
            <w:tcW w:w="1859" w:type="dxa"/>
            <w:vAlign w:val="center"/>
          </w:tcPr>
          <w:p w:rsidR="00D171F8" w:rsidRPr="00633C61" w:rsidP="005C08EE" w14:paraId="46AAE345" w14:textId="77777777">
            <w:pPr>
              <w:rPr>
                <w:bCs/>
              </w:rPr>
            </w:pPr>
            <w:r w:rsidRPr="00633C61">
              <w:rPr>
                <w:bCs/>
              </w:rPr>
              <w:t>No Sampling Plan</w:t>
            </w:r>
          </w:p>
          <w:p w:rsidR="00D171F8" w:rsidRPr="00633C61" w:rsidP="005C08EE" w14:paraId="24DDB625" w14:textId="77777777">
            <w:pPr>
              <w:rPr>
                <w:bCs/>
              </w:rPr>
            </w:pPr>
            <w:r w:rsidRPr="00633C61">
              <w:rPr>
                <w:bCs/>
              </w:rPr>
              <w:t>n=1 per PQ run</w:t>
            </w:r>
          </w:p>
        </w:tc>
        <w:tc>
          <w:tcPr>
            <w:tcW w:w="1861" w:type="dxa"/>
            <w:vAlign w:val="center"/>
          </w:tcPr>
          <w:p w:rsidR="00D171F8" w:rsidRPr="00633C61" w:rsidP="005C08EE" w14:paraId="68A16861" w14:textId="77777777">
            <w:pPr>
              <w:rPr>
                <w:bCs/>
              </w:rPr>
            </w:pPr>
            <w:r w:rsidRPr="00633C61">
              <w:rPr>
                <w:bCs/>
              </w:rPr>
              <w:t>No Sampling Plan</w:t>
            </w:r>
          </w:p>
          <w:p w:rsidR="00D171F8" w:rsidRPr="00633C61" w:rsidP="00FB2312" w14:paraId="132E4142" w14:textId="77777777">
            <w:pPr>
              <w:keepNext/>
              <w:rPr>
                <w:bCs/>
              </w:rPr>
            </w:pPr>
            <w:r w:rsidRPr="00633C61">
              <w:rPr>
                <w:bCs/>
              </w:rPr>
              <w:t>n=1 per OQ run</w:t>
            </w:r>
          </w:p>
        </w:tc>
      </w:tr>
    </w:tbl>
    <w:p w:rsidR="00FB2312" w14:paraId="4D3CC772" w14:textId="6BC31EFE">
      <w:pPr>
        <w:pStyle w:val="Caption"/>
      </w:pPr>
      <w:r>
        <w:t xml:space="preserve">Table </w:t>
      </w:r>
      <w:r>
        <w:fldChar w:fldCharType="begin"/>
      </w:r>
      <w:r>
        <w:instrText xml:space="preserve"> SEQ Tabel \* ARABIC </w:instrText>
      </w:r>
      <w:r>
        <w:fldChar w:fldCharType="separate"/>
      </w:r>
      <w:r>
        <w:t>9</w:t>
      </w:r>
      <w:r>
        <w:fldChar w:fldCharType="end"/>
      </w:r>
      <w:r>
        <w:t xml:space="preserve">: </w:t>
      </w:r>
      <w:r w:rsidRPr="00FF3FA2">
        <w:t>Reliability Levels for PQ and OQ</w:t>
      </w:r>
    </w:p>
    <w:p w:rsidR="00D171F8" w:rsidRPr="00BA1528" w:rsidP="00CF49A8" w14:paraId="04389338" w14:textId="77777777">
      <w:pPr>
        <w:jc w:val="both"/>
        <w:rPr>
          <w:sz w:val="20"/>
          <w:szCs w:val="18"/>
          <w:vertAlign w:val="superscript"/>
        </w:rPr>
      </w:pPr>
      <w:r w:rsidRPr="00BA1528">
        <w:rPr>
          <w:sz w:val="20"/>
          <w:szCs w:val="18"/>
          <w:vertAlign w:val="superscript"/>
        </w:rPr>
        <w:t>[1]</w:t>
      </w:r>
      <w:r w:rsidRPr="00BA1528">
        <w:rPr>
          <w:sz w:val="20"/>
          <w:szCs w:val="18"/>
        </w:rPr>
        <w:t xml:space="preserve"> As gathered from </w:t>
      </w:r>
      <w:r>
        <w:rPr>
          <w:sz w:val="20"/>
          <w:szCs w:val="18"/>
        </w:rPr>
        <w:t xml:space="preserve">Philips </w:t>
      </w:r>
      <w:r w:rsidRPr="00BA1528">
        <w:rPr>
          <w:sz w:val="20"/>
          <w:szCs w:val="18"/>
        </w:rPr>
        <w:t xml:space="preserve">drawings, </w:t>
      </w:r>
      <w:r>
        <w:rPr>
          <w:sz w:val="20"/>
          <w:szCs w:val="18"/>
        </w:rPr>
        <w:t xml:space="preserve">Philips Design </w:t>
      </w:r>
      <w:r w:rsidRPr="00BA1528">
        <w:rPr>
          <w:sz w:val="20"/>
          <w:szCs w:val="18"/>
        </w:rPr>
        <w:t>FMEA documents, etc.</w:t>
      </w:r>
      <w:r w:rsidRPr="00BA1528">
        <w:rPr>
          <w:sz w:val="20"/>
          <w:szCs w:val="18"/>
          <w:vertAlign w:val="superscript"/>
        </w:rPr>
        <w:t xml:space="preserve"> </w:t>
      </w:r>
    </w:p>
    <w:p w:rsidR="00D171F8" w:rsidP="00CF49A8" w14:paraId="09746F17" w14:textId="77777777">
      <w:pPr>
        <w:jc w:val="both"/>
        <w:rPr>
          <w:sz w:val="20"/>
        </w:rPr>
      </w:pPr>
      <w:r w:rsidRPr="00BA1528">
        <w:rPr>
          <w:sz w:val="20"/>
          <w:szCs w:val="18"/>
          <w:vertAlign w:val="superscript"/>
        </w:rPr>
        <w:t xml:space="preserve">[2] </w:t>
      </w:r>
      <w:r w:rsidRPr="00BA1528">
        <w:rPr>
          <w:sz w:val="20"/>
        </w:rPr>
        <w:t>OQ runs are executed at worst-case conditions, making them stress tests. Stress tests can be validated to reduced reliability levels because tests at these conditions induce a higher level of non-conforming units than tests at normal manufacturing conditions [paraphrased from Reference 2, Stat-03, Page 8</w:t>
      </w:r>
      <w:r>
        <w:rPr>
          <w:sz w:val="20"/>
        </w:rPr>
        <w:t>]</w:t>
      </w:r>
      <w:r w:rsidRPr="00BA1528">
        <w:rPr>
          <w:sz w:val="20"/>
        </w:rPr>
        <w:t>.</w:t>
      </w:r>
    </w:p>
    <w:p w:rsidR="00D171F8" w:rsidP="00D171F8" w14:paraId="52D66B1E" w14:textId="77777777">
      <w:pPr>
        <w:ind w:left="540"/>
        <w:rPr>
          <w:sz w:val="20"/>
        </w:rPr>
      </w:pPr>
      <w:r>
        <w:rPr>
          <w:sz w:val="20"/>
        </w:rPr>
        <w:br w:type="page"/>
      </w:r>
    </w:p>
    <w:p w:rsidR="00D171F8" w:rsidP="00EE1EA6" w14:paraId="06D84CB9" w14:textId="11FBADFA">
      <w:pPr>
        <w:pStyle w:val="Heading2"/>
      </w:pPr>
      <w:bookmarkStart w:id="95" w:name="_Toc188651153"/>
      <w:bookmarkStart w:id="96" w:name="_Toc256000038"/>
      <w:r>
        <w:t>Sampling Plan Rationales</w:t>
      </w:r>
      <w:bookmarkEnd w:id="96"/>
      <w:bookmarkEnd w:id="95"/>
    </w:p>
    <w:p w:rsidR="00D171F8" w:rsidP="00042FE9" w14:paraId="3303FB1F" w14:textId="77777777">
      <w:pPr>
        <w:rPr>
          <w:i/>
          <w:iCs/>
        </w:rPr>
      </w:pPr>
      <w:r>
        <w:t>A rationale for the selected sampling plan must be documented in each OQ and PQ protocols.</w:t>
      </w:r>
    </w:p>
    <w:p w:rsidR="00D171F8" w:rsidP="00837D3D" w14:paraId="3AC5AAA8" w14:textId="77777777">
      <w:pPr>
        <w:pStyle w:val="Heading3"/>
      </w:pPr>
      <w:r>
        <w:t xml:space="preserve">For each CQA that is tested in the validation study, the highest Criticality, Severity of Harm, or Severity of Effect is determined (see Table 9), and the respective sampling plan from this procedure is selected. Note that each CQA may have its own sampling plan. </w:t>
      </w:r>
    </w:p>
    <w:p w:rsidR="00D171F8" w:rsidP="00837D3D" w14:paraId="4C30B311" w14:textId="77777777">
      <w:pPr>
        <w:pStyle w:val="Heading3"/>
      </w:pPr>
      <w:r>
        <w:t>For critical quality characteristics that are marked as CTS and do not have any information regarding the Severity of Harm, the sampling plan for CTS-S4 must be used.</w:t>
      </w:r>
    </w:p>
    <w:p w:rsidR="00D171F8" w:rsidP="00837D3D" w14:paraId="03526A52" w14:textId="77777777">
      <w:pPr>
        <w:pStyle w:val="Heading3"/>
      </w:pPr>
      <w:r>
        <w:t>For critical quality characteristics that are marked as CTQ and do not have any further information regarding the Severity of Effect, the sampling plan for CTS-SEV 8 must be used.</w:t>
      </w:r>
    </w:p>
    <w:p w:rsidR="00D171F8" w:rsidRPr="000776AB" w:rsidP="00EE1EA6" w14:paraId="0BC588C9" w14:textId="4B41677A">
      <w:pPr>
        <w:pStyle w:val="Heading2"/>
      </w:pPr>
      <w:bookmarkStart w:id="97" w:name="_Toc170295810"/>
      <w:bookmarkStart w:id="98" w:name="_Toc170296331"/>
      <w:bookmarkStart w:id="99" w:name="_Toc170311019"/>
      <w:bookmarkStart w:id="100" w:name="_Toc170311543"/>
      <w:bookmarkStart w:id="101" w:name="_Toc170312067"/>
      <w:bookmarkStart w:id="102" w:name="_Toc171483478"/>
      <w:bookmarkStart w:id="103" w:name="_Toc171503747"/>
      <w:bookmarkStart w:id="104" w:name="_Toc171504282"/>
      <w:bookmarkStart w:id="105" w:name="_Toc171513366"/>
      <w:bookmarkStart w:id="106" w:name="_Toc171514016"/>
      <w:bookmarkStart w:id="107" w:name="_Toc171516681"/>
      <w:bookmarkStart w:id="108" w:name="_Toc171517317"/>
      <w:bookmarkStart w:id="109" w:name="_Toc170295811"/>
      <w:bookmarkStart w:id="110" w:name="_Toc170296332"/>
      <w:bookmarkStart w:id="111" w:name="_Toc170311020"/>
      <w:bookmarkStart w:id="112" w:name="_Toc170311544"/>
      <w:bookmarkStart w:id="113" w:name="_Toc170312068"/>
      <w:bookmarkStart w:id="114" w:name="_Toc171483479"/>
      <w:bookmarkStart w:id="115" w:name="_Toc171503748"/>
      <w:bookmarkStart w:id="116" w:name="_Toc171504283"/>
      <w:bookmarkStart w:id="117" w:name="_Toc171513367"/>
      <w:bookmarkStart w:id="118" w:name="_Toc171514017"/>
      <w:bookmarkStart w:id="119" w:name="_Toc171516682"/>
      <w:bookmarkStart w:id="120" w:name="_Toc171517318"/>
      <w:bookmarkStart w:id="121" w:name="_Toc170295812"/>
      <w:bookmarkStart w:id="122" w:name="_Toc170296333"/>
      <w:bookmarkStart w:id="123" w:name="_Toc170311021"/>
      <w:bookmarkStart w:id="124" w:name="_Toc170311545"/>
      <w:bookmarkStart w:id="125" w:name="_Toc170312069"/>
      <w:bookmarkStart w:id="126" w:name="_Toc171483480"/>
      <w:bookmarkStart w:id="127" w:name="_Toc171503749"/>
      <w:bookmarkStart w:id="128" w:name="_Toc171504284"/>
      <w:bookmarkStart w:id="129" w:name="_Toc171513368"/>
      <w:bookmarkStart w:id="130" w:name="_Toc171514018"/>
      <w:bookmarkStart w:id="131" w:name="_Toc171516683"/>
      <w:bookmarkStart w:id="132" w:name="_Toc171517319"/>
      <w:bookmarkStart w:id="133" w:name="_Toc170295813"/>
      <w:bookmarkStart w:id="134" w:name="_Toc170296334"/>
      <w:bookmarkStart w:id="135" w:name="_Toc170311022"/>
      <w:bookmarkStart w:id="136" w:name="_Toc170311546"/>
      <w:bookmarkStart w:id="137" w:name="_Toc170312070"/>
      <w:bookmarkStart w:id="138" w:name="_Toc171483481"/>
      <w:bookmarkStart w:id="139" w:name="_Toc171503750"/>
      <w:bookmarkStart w:id="140" w:name="_Toc171504285"/>
      <w:bookmarkStart w:id="141" w:name="_Toc171513369"/>
      <w:bookmarkStart w:id="142" w:name="_Toc171514019"/>
      <w:bookmarkStart w:id="143" w:name="_Toc171516684"/>
      <w:bookmarkStart w:id="144" w:name="_Toc171517320"/>
      <w:bookmarkStart w:id="145" w:name="_Toc170295814"/>
      <w:bookmarkStart w:id="146" w:name="_Toc170296335"/>
      <w:bookmarkStart w:id="147" w:name="_Toc170311023"/>
      <w:bookmarkStart w:id="148" w:name="_Toc170311547"/>
      <w:bookmarkStart w:id="149" w:name="_Toc170312071"/>
      <w:bookmarkStart w:id="150" w:name="_Toc171483482"/>
      <w:bookmarkStart w:id="151" w:name="_Toc171503751"/>
      <w:bookmarkStart w:id="152" w:name="_Toc171504286"/>
      <w:bookmarkStart w:id="153" w:name="_Toc171513370"/>
      <w:bookmarkStart w:id="154" w:name="_Toc171514020"/>
      <w:bookmarkStart w:id="155" w:name="_Toc171516685"/>
      <w:bookmarkStart w:id="156" w:name="_Toc171517321"/>
      <w:bookmarkStart w:id="157" w:name="_Toc170295815"/>
      <w:bookmarkStart w:id="158" w:name="_Toc170296336"/>
      <w:bookmarkStart w:id="159" w:name="_Toc170311024"/>
      <w:bookmarkStart w:id="160" w:name="_Toc170311548"/>
      <w:bookmarkStart w:id="161" w:name="_Toc170312072"/>
      <w:bookmarkStart w:id="162" w:name="_Toc171483483"/>
      <w:bookmarkStart w:id="163" w:name="_Toc171503752"/>
      <w:bookmarkStart w:id="164" w:name="_Toc171504287"/>
      <w:bookmarkStart w:id="165" w:name="_Toc171513371"/>
      <w:bookmarkStart w:id="166" w:name="_Toc171514021"/>
      <w:bookmarkStart w:id="167" w:name="_Toc171516686"/>
      <w:bookmarkStart w:id="168" w:name="_Toc171517322"/>
      <w:bookmarkStart w:id="169" w:name="_Toc170295816"/>
      <w:bookmarkStart w:id="170" w:name="_Toc170296337"/>
      <w:bookmarkStart w:id="171" w:name="_Toc170311025"/>
      <w:bookmarkStart w:id="172" w:name="_Toc170311549"/>
      <w:bookmarkStart w:id="173" w:name="_Toc170312073"/>
      <w:bookmarkStart w:id="174" w:name="_Toc171483484"/>
      <w:bookmarkStart w:id="175" w:name="_Toc171503753"/>
      <w:bookmarkStart w:id="176" w:name="_Toc171504288"/>
      <w:bookmarkStart w:id="177" w:name="_Toc171513372"/>
      <w:bookmarkStart w:id="178" w:name="_Toc171514022"/>
      <w:bookmarkStart w:id="179" w:name="_Toc171516687"/>
      <w:bookmarkStart w:id="180" w:name="_Toc171517323"/>
      <w:bookmarkStart w:id="181" w:name="_Toc170295817"/>
      <w:bookmarkStart w:id="182" w:name="_Toc170296338"/>
      <w:bookmarkStart w:id="183" w:name="_Toc170311026"/>
      <w:bookmarkStart w:id="184" w:name="_Toc170311550"/>
      <w:bookmarkStart w:id="185" w:name="_Toc170312074"/>
      <w:bookmarkStart w:id="186" w:name="_Toc171483485"/>
      <w:bookmarkStart w:id="187" w:name="_Toc171503754"/>
      <w:bookmarkStart w:id="188" w:name="_Toc171504289"/>
      <w:bookmarkStart w:id="189" w:name="_Toc171513373"/>
      <w:bookmarkStart w:id="190" w:name="_Toc171514023"/>
      <w:bookmarkStart w:id="191" w:name="_Toc171516688"/>
      <w:bookmarkStart w:id="192" w:name="_Toc171517324"/>
      <w:bookmarkStart w:id="193" w:name="_Toc170295818"/>
      <w:bookmarkStart w:id="194" w:name="_Toc170296339"/>
      <w:bookmarkStart w:id="195" w:name="_Toc170311027"/>
      <w:bookmarkStart w:id="196" w:name="_Toc170311551"/>
      <w:bookmarkStart w:id="197" w:name="_Toc170312075"/>
      <w:bookmarkStart w:id="198" w:name="_Toc171483486"/>
      <w:bookmarkStart w:id="199" w:name="_Toc171503755"/>
      <w:bookmarkStart w:id="200" w:name="_Toc171504290"/>
      <w:bookmarkStart w:id="201" w:name="_Toc171513374"/>
      <w:bookmarkStart w:id="202" w:name="_Toc171514024"/>
      <w:bookmarkStart w:id="203" w:name="_Toc171516689"/>
      <w:bookmarkStart w:id="204" w:name="_Toc171517325"/>
      <w:bookmarkStart w:id="205" w:name="_Toc170295819"/>
      <w:bookmarkStart w:id="206" w:name="_Toc170296340"/>
      <w:bookmarkStart w:id="207" w:name="_Toc170311028"/>
      <w:bookmarkStart w:id="208" w:name="_Toc170311552"/>
      <w:bookmarkStart w:id="209" w:name="_Toc170312076"/>
      <w:bookmarkStart w:id="210" w:name="_Toc171483487"/>
      <w:bookmarkStart w:id="211" w:name="_Toc171503756"/>
      <w:bookmarkStart w:id="212" w:name="_Toc171504291"/>
      <w:bookmarkStart w:id="213" w:name="_Toc171513375"/>
      <w:bookmarkStart w:id="214" w:name="_Toc171514025"/>
      <w:bookmarkStart w:id="215" w:name="_Toc171516690"/>
      <w:bookmarkStart w:id="216" w:name="_Toc171517326"/>
      <w:bookmarkStart w:id="217" w:name="_Toc170295820"/>
      <w:bookmarkStart w:id="218" w:name="_Toc170296341"/>
      <w:bookmarkStart w:id="219" w:name="_Toc170311029"/>
      <w:bookmarkStart w:id="220" w:name="_Toc170311553"/>
      <w:bookmarkStart w:id="221" w:name="_Toc170312077"/>
      <w:bookmarkStart w:id="222" w:name="_Toc171483488"/>
      <w:bookmarkStart w:id="223" w:name="_Toc171503757"/>
      <w:bookmarkStart w:id="224" w:name="_Toc171504292"/>
      <w:bookmarkStart w:id="225" w:name="_Toc171513376"/>
      <w:bookmarkStart w:id="226" w:name="_Toc171514026"/>
      <w:bookmarkStart w:id="227" w:name="_Toc171516691"/>
      <w:bookmarkStart w:id="228" w:name="_Toc171517327"/>
      <w:bookmarkStart w:id="229" w:name="_Toc170295821"/>
      <w:bookmarkStart w:id="230" w:name="_Toc170296342"/>
      <w:bookmarkStart w:id="231" w:name="_Toc170311030"/>
      <w:bookmarkStart w:id="232" w:name="_Toc170311554"/>
      <w:bookmarkStart w:id="233" w:name="_Toc170312078"/>
      <w:bookmarkStart w:id="234" w:name="_Toc171483489"/>
      <w:bookmarkStart w:id="235" w:name="_Toc171503758"/>
      <w:bookmarkStart w:id="236" w:name="_Toc171504293"/>
      <w:bookmarkStart w:id="237" w:name="_Toc171513377"/>
      <w:bookmarkStart w:id="238" w:name="_Toc171514027"/>
      <w:bookmarkStart w:id="239" w:name="_Toc171516692"/>
      <w:bookmarkStart w:id="240" w:name="_Toc171517328"/>
      <w:bookmarkStart w:id="241" w:name="_Toc170295822"/>
      <w:bookmarkStart w:id="242" w:name="_Toc170296343"/>
      <w:bookmarkStart w:id="243" w:name="_Toc170311031"/>
      <w:bookmarkStart w:id="244" w:name="_Toc170311555"/>
      <w:bookmarkStart w:id="245" w:name="_Toc170312079"/>
      <w:bookmarkStart w:id="246" w:name="_Toc171483490"/>
      <w:bookmarkStart w:id="247" w:name="_Toc171503759"/>
      <w:bookmarkStart w:id="248" w:name="_Toc171504294"/>
      <w:bookmarkStart w:id="249" w:name="_Toc171513378"/>
      <w:bookmarkStart w:id="250" w:name="_Toc171514028"/>
      <w:bookmarkStart w:id="251" w:name="_Toc171516693"/>
      <w:bookmarkStart w:id="252" w:name="_Toc171517329"/>
      <w:bookmarkStart w:id="253" w:name="_Toc170295823"/>
      <w:bookmarkStart w:id="254" w:name="_Toc170296344"/>
      <w:bookmarkStart w:id="255" w:name="_Toc170311032"/>
      <w:bookmarkStart w:id="256" w:name="_Toc170311556"/>
      <w:bookmarkStart w:id="257" w:name="_Toc170312080"/>
      <w:bookmarkStart w:id="258" w:name="_Toc171483491"/>
      <w:bookmarkStart w:id="259" w:name="_Toc171503760"/>
      <w:bookmarkStart w:id="260" w:name="_Toc171504295"/>
      <w:bookmarkStart w:id="261" w:name="_Toc171513379"/>
      <w:bookmarkStart w:id="262" w:name="_Toc171514029"/>
      <w:bookmarkStart w:id="263" w:name="_Toc171516694"/>
      <w:bookmarkStart w:id="264" w:name="_Toc171517330"/>
      <w:bookmarkStart w:id="265" w:name="_Toc170295824"/>
      <w:bookmarkStart w:id="266" w:name="_Toc170296345"/>
      <w:bookmarkStart w:id="267" w:name="_Toc170311033"/>
      <w:bookmarkStart w:id="268" w:name="_Toc170311557"/>
      <w:bookmarkStart w:id="269" w:name="_Toc170312081"/>
      <w:bookmarkStart w:id="270" w:name="_Toc171483492"/>
      <w:bookmarkStart w:id="271" w:name="_Toc171503761"/>
      <w:bookmarkStart w:id="272" w:name="_Toc171504296"/>
      <w:bookmarkStart w:id="273" w:name="_Toc171513380"/>
      <w:bookmarkStart w:id="274" w:name="_Toc171514030"/>
      <w:bookmarkStart w:id="275" w:name="_Toc171516695"/>
      <w:bookmarkStart w:id="276" w:name="_Toc171517331"/>
      <w:bookmarkStart w:id="277" w:name="_Toc170295825"/>
      <w:bookmarkStart w:id="278" w:name="_Toc170296346"/>
      <w:bookmarkStart w:id="279" w:name="_Toc170311034"/>
      <w:bookmarkStart w:id="280" w:name="_Toc170311558"/>
      <w:bookmarkStart w:id="281" w:name="_Toc170312082"/>
      <w:bookmarkStart w:id="282" w:name="_Toc171483493"/>
      <w:bookmarkStart w:id="283" w:name="_Toc171503762"/>
      <w:bookmarkStart w:id="284" w:name="_Toc171504297"/>
      <w:bookmarkStart w:id="285" w:name="_Toc171513381"/>
      <w:bookmarkStart w:id="286" w:name="_Toc171514031"/>
      <w:bookmarkStart w:id="287" w:name="_Toc171516696"/>
      <w:bookmarkStart w:id="288" w:name="_Toc171517332"/>
      <w:bookmarkStart w:id="289" w:name="_Toc170295826"/>
      <w:bookmarkStart w:id="290" w:name="_Toc170296347"/>
      <w:bookmarkStart w:id="291" w:name="_Toc170311035"/>
      <w:bookmarkStart w:id="292" w:name="_Toc170311559"/>
      <w:bookmarkStart w:id="293" w:name="_Toc170312083"/>
      <w:bookmarkStart w:id="294" w:name="_Toc171483494"/>
      <w:bookmarkStart w:id="295" w:name="_Toc171503763"/>
      <w:bookmarkStart w:id="296" w:name="_Toc171504298"/>
      <w:bookmarkStart w:id="297" w:name="_Toc171513382"/>
      <w:bookmarkStart w:id="298" w:name="_Toc171514032"/>
      <w:bookmarkStart w:id="299" w:name="_Toc171516697"/>
      <w:bookmarkStart w:id="300" w:name="_Toc171517333"/>
      <w:bookmarkStart w:id="301" w:name="_Toc170295827"/>
      <w:bookmarkStart w:id="302" w:name="_Toc170296348"/>
      <w:bookmarkStart w:id="303" w:name="_Toc170311036"/>
      <w:bookmarkStart w:id="304" w:name="_Toc170311560"/>
      <w:bookmarkStart w:id="305" w:name="_Toc170312084"/>
      <w:bookmarkStart w:id="306" w:name="_Toc171483495"/>
      <w:bookmarkStart w:id="307" w:name="_Toc171503764"/>
      <w:bookmarkStart w:id="308" w:name="_Toc171504299"/>
      <w:bookmarkStart w:id="309" w:name="_Toc171513383"/>
      <w:bookmarkStart w:id="310" w:name="_Toc171514033"/>
      <w:bookmarkStart w:id="311" w:name="_Toc171516698"/>
      <w:bookmarkStart w:id="312" w:name="_Toc171517334"/>
      <w:bookmarkStart w:id="313" w:name="_Toc170295828"/>
      <w:bookmarkStart w:id="314" w:name="_Toc170296349"/>
      <w:bookmarkStart w:id="315" w:name="_Toc170311037"/>
      <w:bookmarkStart w:id="316" w:name="_Toc170311561"/>
      <w:bookmarkStart w:id="317" w:name="_Toc170312085"/>
      <w:bookmarkStart w:id="318" w:name="_Toc171483496"/>
      <w:bookmarkStart w:id="319" w:name="_Toc171503765"/>
      <w:bookmarkStart w:id="320" w:name="_Toc171504300"/>
      <w:bookmarkStart w:id="321" w:name="_Toc171513384"/>
      <w:bookmarkStart w:id="322" w:name="_Toc171514034"/>
      <w:bookmarkStart w:id="323" w:name="_Toc171516699"/>
      <w:bookmarkStart w:id="324" w:name="_Toc171517335"/>
      <w:bookmarkStart w:id="325" w:name="_Toc170295829"/>
      <w:bookmarkStart w:id="326" w:name="_Toc170296350"/>
      <w:bookmarkStart w:id="327" w:name="_Toc170311038"/>
      <w:bookmarkStart w:id="328" w:name="_Toc170311562"/>
      <w:bookmarkStart w:id="329" w:name="_Toc170312086"/>
      <w:bookmarkStart w:id="330" w:name="_Toc171483497"/>
      <w:bookmarkStart w:id="331" w:name="_Toc171503766"/>
      <w:bookmarkStart w:id="332" w:name="_Toc171504301"/>
      <w:bookmarkStart w:id="333" w:name="_Toc171513385"/>
      <w:bookmarkStart w:id="334" w:name="_Toc171514035"/>
      <w:bookmarkStart w:id="335" w:name="_Toc171516700"/>
      <w:bookmarkStart w:id="336" w:name="_Toc171517336"/>
      <w:bookmarkStart w:id="337" w:name="_Toc170295830"/>
      <w:bookmarkStart w:id="338" w:name="_Toc170296351"/>
      <w:bookmarkStart w:id="339" w:name="_Toc170311039"/>
      <w:bookmarkStart w:id="340" w:name="_Toc170311563"/>
      <w:bookmarkStart w:id="341" w:name="_Toc170312087"/>
      <w:bookmarkStart w:id="342" w:name="_Toc171483498"/>
      <w:bookmarkStart w:id="343" w:name="_Toc171503767"/>
      <w:bookmarkStart w:id="344" w:name="_Toc171504302"/>
      <w:bookmarkStart w:id="345" w:name="_Toc171513386"/>
      <w:bookmarkStart w:id="346" w:name="_Toc171514036"/>
      <w:bookmarkStart w:id="347" w:name="_Toc171516701"/>
      <w:bookmarkStart w:id="348" w:name="_Toc171517337"/>
      <w:bookmarkStart w:id="349" w:name="_Toc170295831"/>
      <w:bookmarkStart w:id="350" w:name="_Toc170296352"/>
      <w:bookmarkStart w:id="351" w:name="_Toc170311040"/>
      <w:bookmarkStart w:id="352" w:name="_Toc170311564"/>
      <w:bookmarkStart w:id="353" w:name="_Toc170312088"/>
      <w:bookmarkStart w:id="354" w:name="_Toc171483499"/>
      <w:bookmarkStart w:id="355" w:name="_Toc171503768"/>
      <w:bookmarkStart w:id="356" w:name="_Toc171504303"/>
      <w:bookmarkStart w:id="357" w:name="_Toc171513387"/>
      <w:bookmarkStart w:id="358" w:name="_Toc171514037"/>
      <w:bookmarkStart w:id="359" w:name="_Toc171516702"/>
      <w:bookmarkStart w:id="360" w:name="_Toc171517338"/>
      <w:bookmarkStart w:id="361" w:name="_Toc170295832"/>
      <w:bookmarkStart w:id="362" w:name="_Toc170296353"/>
      <w:bookmarkStart w:id="363" w:name="_Toc170311041"/>
      <w:bookmarkStart w:id="364" w:name="_Toc170311565"/>
      <w:bookmarkStart w:id="365" w:name="_Toc170312089"/>
      <w:bookmarkStart w:id="366" w:name="_Toc171483500"/>
      <w:bookmarkStart w:id="367" w:name="_Toc171503769"/>
      <w:bookmarkStart w:id="368" w:name="_Toc171504304"/>
      <w:bookmarkStart w:id="369" w:name="_Toc171513388"/>
      <w:bookmarkStart w:id="370" w:name="_Toc171514038"/>
      <w:bookmarkStart w:id="371" w:name="_Toc171516703"/>
      <w:bookmarkStart w:id="372" w:name="_Toc171517339"/>
      <w:bookmarkStart w:id="373" w:name="_Toc170295833"/>
      <w:bookmarkStart w:id="374" w:name="_Toc170296354"/>
      <w:bookmarkStart w:id="375" w:name="_Toc170311042"/>
      <w:bookmarkStart w:id="376" w:name="_Toc170311566"/>
      <w:bookmarkStart w:id="377" w:name="_Toc170312090"/>
      <w:bookmarkStart w:id="378" w:name="_Toc171483501"/>
      <w:bookmarkStart w:id="379" w:name="_Toc171503770"/>
      <w:bookmarkStart w:id="380" w:name="_Toc171504305"/>
      <w:bookmarkStart w:id="381" w:name="_Toc171513389"/>
      <w:bookmarkStart w:id="382" w:name="_Toc171514039"/>
      <w:bookmarkStart w:id="383" w:name="_Toc171516704"/>
      <w:bookmarkStart w:id="384" w:name="_Toc171517340"/>
      <w:bookmarkStart w:id="385" w:name="_Toc170295834"/>
      <w:bookmarkStart w:id="386" w:name="_Toc170296355"/>
      <w:bookmarkStart w:id="387" w:name="_Toc170311043"/>
      <w:bookmarkStart w:id="388" w:name="_Toc170311567"/>
      <w:bookmarkStart w:id="389" w:name="_Toc170312091"/>
      <w:bookmarkStart w:id="390" w:name="_Toc171483502"/>
      <w:bookmarkStart w:id="391" w:name="_Toc171503771"/>
      <w:bookmarkStart w:id="392" w:name="_Toc171504306"/>
      <w:bookmarkStart w:id="393" w:name="_Toc171513390"/>
      <w:bookmarkStart w:id="394" w:name="_Toc171514040"/>
      <w:bookmarkStart w:id="395" w:name="_Toc171516705"/>
      <w:bookmarkStart w:id="396" w:name="_Toc171517341"/>
      <w:bookmarkStart w:id="397" w:name="_Toc170295835"/>
      <w:bookmarkStart w:id="398" w:name="_Toc170296356"/>
      <w:bookmarkStart w:id="399" w:name="_Toc170311044"/>
      <w:bookmarkStart w:id="400" w:name="_Toc170311568"/>
      <w:bookmarkStart w:id="401" w:name="_Toc170312092"/>
      <w:bookmarkStart w:id="402" w:name="_Toc171483503"/>
      <w:bookmarkStart w:id="403" w:name="_Toc171503772"/>
      <w:bookmarkStart w:id="404" w:name="_Toc171504307"/>
      <w:bookmarkStart w:id="405" w:name="_Toc171513391"/>
      <w:bookmarkStart w:id="406" w:name="_Toc171514041"/>
      <w:bookmarkStart w:id="407" w:name="_Toc171516706"/>
      <w:bookmarkStart w:id="408" w:name="_Toc171517342"/>
      <w:bookmarkStart w:id="409" w:name="_Toc170295836"/>
      <w:bookmarkStart w:id="410" w:name="_Toc170296357"/>
      <w:bookmarkStart w:id="411" w:name="_Toc170311045"/>
      <w:bookmarkStart w:id="412" w:name="_Toc170311569"/>
      <w:bookmarkStart w:id="413" w:name="_Toc170312093"/>
      <w:bookmarkStart w:id="414" w:name="_Toc171483504"/>
      <w:bookmarkStart w:id="415" w:name="_Toc171503773"/>
      <w:bookmarkStart w:id="416" w:name="_Toc171504308"/>
      <w:bookmarkStart w:id="417" w:name="_Toc171513392"/>
      <w:bookmarkStart w:id="418" w:name="_Toc171514042"/>
      <w:bookmarkStart w:id="419" w:name="_Toc171516707"/>
      <w:bookmarkStart w:id="420" w:name="_Toc171517343"/>
      <w:bookmarkStart w:id="421" w:name="_Toc170295837"/>
      <w:bookmarkStart w:id="422" w:name="_Toc170296358"/>
      <w:bookmarkStart w:id="423" w:name="_Toc170311046"/>
      <w:bookmarkStart w:id="424" w:name="_Toc170311570"/>
      <w:bookmarkStart w:id="425" w:name="_Toc170312094"/>
      <w:bookmarkStart w:id="426" w:name="_Toc171483505"/>
      <w:bookmarkStart w:id="427" w:name="_Toc171503774"/>
      <w:bookmarkStart w:id="428" w:name="_Toc171504309"/>
      <w:bookmarkStart w:id="429" w:name="_Toc171513393"/>
      <w:bookmarkStart w:id="430" w:name="_Toc171514043"/>
      <w:bookmarkStart w:id="431" w:name="_Toc171516708"/>
      <w:bookmarkStart w:id="432" w:name="_Toc171517344"/>
      <w:bookmarkStart w:id="433" w:name="_Toc170295838"/>
      <w:bookmarkStart w:id="434" w:name="_Toc170296359"/>
      <w:bookmarkStart w:id="435" w:name="_Toc170311047"/>
      <w:bookmarkStart w:id="436" w:name="_Toc170311571"/>
      <w:bookmarkStart w:id="437" w:name="_Toc170312095"/>
      <w:bookmarkStart w:id="438" w:name="_Toc171483506"/>
      <w:bookmarkStart w:id="439" w:name="_Toc171503775"/>
      <w:bookmarkStart w:id="440" w:name="_Toc171504310"/>
      <w:bookmarkStart w:id="441" w:name="_Toc171513394"/>
      <w:bookmarkStart w:id="442" w:name="_Toc171514044"/>
      <w:bookmarkStart w:id="443" w:name="_Toc171516709"/>
      <w:bookmarkStart w:id="444" w:name="_Toc171517345"/>
      <w:bookmarkStart w:id="445" w:name="_Toc170295917"/>
      <w:bookmarkStart w:id="446" w:name="_Toc170296438"/>
      <w:bookmarkStart w:id="447" w:name="_Toc170311126"/>
      <w:bookmarkStart w:id="448" w:name="_Toc170311650"/>
      <w:bookmarkStart w:id="449" w:name="_Toc170312174"/>
      <w:bookmarkStart w:id="450" w:name="_Toc171483585"/>
      <w:bookmarkStart w:id="451" w:name="_Toc171503854"/>
      <w:bookmarkStart w:id="452" w:name="_Toc171504389"/>
      <w:bookmarkStart w:id="453" w:name="_Toc171513473"/>
      <w:bookmarkStart w:id="454" w:name="_Toc171514123"/>
      <w:bookmarkStart w:id="455" w:name="_Toc171516788"/>
      <w:bookmarkStart w:id="456" w:name="_Toc171517424"/>
      <w:bookmarkStart w:id="457" w:name="_Toc170295918"/>
      <w:bookmarkStart w:id="458" w:name="_Toc170296439"/>
      <w:bookmarkStart w:id="459" w:name="_Toc170311127"/>
      <w:bookmarkStart w:id="460" w:name="_Toc170311651"/>
      <w:bookmarkStart w:id="461" w:name="_Toc170312175"/>
      <w:bookmarkStart w:id="462" w:name="_Toc171483586"/>
      <w:bookmarkStart w:id="463" w:name="_Toc171503855"/>
      <w:bookmarkStart w:id="464" w:name="_Toc171504390"/>
      <w:bookmarkStart w:id="465" w:name="_Toc171513474"/>
      <w:bookmarkStart w:id="466" w:name="_Toc171514124"/>
      <w:bookmarkStart w:id="467" w:name="_Toc171516789"/>
      <w:bookmarkStart w:id="468" w:name="_Toc171517425"/>
      <w:bookmarkStart w:id="469" w:name="_Toc170295919"/>
      <w:bookmarkStart w:id="470" w:name="_Toc170296440"/>
      <w:bookmarkStart w:id="471" w:name="_Toc170311128"/>
      <w:bookmarkStart w:id="472" w:name="_Toc170311652"/>
      <w:bookmarkStart w:id="473" w:name="_Toc170312176"/>
      <w:bookmarkStart w:id="474" w:name="_Toc171483587"/>
      <w:bookmarkStart w:id="475" w:name="_Toc171503856"/>
      <w:bookmarkStart w:id="476" w:name="_Toc171504391"/>
      <w:bookmarkStart w:id="477" w:name="_Toc171513475"/>
      <w:bookmarkStart w:id="478" w:name="_Toc171514125"/>
      <w:bookmarkStart w:id="479" w:name="_Toc171516790"/>
      <w:bookmarkStart w:id="480" w:name="_Toc171517426"/>
      <w:bookmarkStart w:id="481" w:name="_Toc170295920"/>
      <w:bookmarkStart w:id="482" w:name="_Toc170296441"/>
      <w:bookmarkStart w:id="483" w:name="_Toc170311129"/>
      <w:bookmarkStart w:id="484" w:name="_Toc170311653"/>
      <w:bookmarkStart w:id="485" w:name="_Toc170312177"/>
      <w:bookmarkStart w:id="486" w:name="_Toc171483588"/>
      <w:bookmarkStart w:id="487" w:name="_Toc171503857"/>
      <w:bookmarkStart w:id="488" w:name="_Toc171504392"/>
      <w:bookmarkStart w:id="489" w:name="_Toc171513476"/>
      <w:bookmarkStart w:id="490" w:name="_Toc171514126"/>
      <w:bookmarkStart w:id="491" w:name="_Toc171516791"/>
      <w:bookmarkStart w:id="492" w:name="_Toc171517427"/>
      <w:bookmarkStart w:id="493" w:name="_Toc170295921"/>
      <w:bookmarkStart w:id="494" w:name="_Toc170296442"/>
      <w:bookmarkStart w:id="495" w:name="_Toc170311130"/>
      <w:bookmarkStart w:id="496" w:name="_Toc170311654"/>
      <w:bookmarkStart w:id="497" w:name="_Toc170312178"/>
      <w:bookmarkStart w:id="498" w:name="_Toc171483589"/>
      <w:bookmarkStart w:id="499" w:name="_Toc171503858"/>
      <w:bookmarkStart w:id="500" w:name="_Toc171504393"/>
      <w:bookmarkStart w:id="501" w:name="_Toc171513477"/>
      <w:bookmarkStart w:id="502" w:name="_Toc171514127"/>
      <w:bookmarkStart w:id="503" w:name="_Toc171516792"/>
      <w:bookmarkStart w:id="504" w:name="_Toc171517428"/>
      <w:bookmarkStart w:id="505" w:name="_Toc170295922"/>
      <w:bookmarkStart w:id="506" w:name="_Toc170296443"/>
      <w:bookmarkStart w:id="507" w:name="_Toc170311131"/>
      <w:bookmarkStart w:id="508" w:name="_Toc170311655"/>
      <w:bookmarkStart w:id="509" w:name="_Toc170312179"/>
      <w:bookmarkStart w:id="510" w:name="_Toc171483590"/>
      <w:bookmarkStart w:id="511" w:name="_Toc171503859"/>
      <w:bookmarkStart w:id="512" w:name="_Toc171504394"/>
      <w:bookmarkStart w:id="513" w:name="_Toc171513478"/>
      <w:bookmarkStart w:id="514" w:name="_Toc171514128"/>
      <w:bookmarkStart w:id="515" w:name="_Toc171516793"/>
      <w:bookmarkStart w:id="516" w:name="_Toc171517429"/>
      <w:bookmarkStart w:id="517" w:name="_Toc170295923"/>
      <w:bookmarkStart w:id="518" w:name="_Toc170296444"/>
      <w:bookmarkStart w:id="519" w:name="_Toc170311132"/>
      <w:bookmarkStart w:id="520" w:name="_Toc170311656"/>
      <w:bookmarkStart w:id="521" w:name="_Toc170312180"/>
      <w:bookmarkStart w:id="522" w:name="_Toc171483591"/>
      <w:bookmarkStart w:id="523" w:name="_Toc171503860"/>
      <w:bookmarkStart w:id="524" w:name="_Toc171504395"/>
      <w:bookmarkStart w:id="525" w:name="_Toc171513479"/>
      <w:bookmarkStart w:id="526" w:name="_Toc171514129"/>
      <w:bookmarkStart w:id="527" w:name="_Toc171516794"/>
      <w:bookmarkStart w:id="528" w:name="_Toc171517430"/>
      <w:bookmarkStart w:id="529" w:name="_Toc170296002"/>
      <w:bookmarkStart w:id="530" w:name="_Toc170296523"/>
      <w:bookmarkStart w:id="531" w:name="_Toc170311211"/>
      <w:bookmarkStart w:id="532" w:name="_Toc170311735"/>
      <w:bookmarkStart w:id="533" w:name="_Toc170312259"/>
      <w:bookmarkStart w:id="534" w:name="_Toc171483670"/>
      <w:bookmarkStart w:id="535" w:name="_Toc171503939"/>
      <w:bookmarkStart w:id="536" w:name="_Toc171504474"/>
      <w:bookmarkStart w:id="537" w:name="_Toc171513558"/>
      <w:bookmarkStart w:id="538" w:name="_Toc171514208"/>
      <w:bookmarkStart w:id="539" w:name="_Toc171516873"/>
      <w:bookmarkStart w:id="540" w:name="_Toc171517509"/>
      <w:bookmarkStart w:id="541" w:name="_Toc170296003"/>
      <w:bookmarkStart w:id="542" w:name="_Toc170296524"/>
      <w:bookmarkStart w:id="543" w:name="_Toc170311212"/>
      <w:bookmarkStart w:id="544" w:name="_Toc170311736"/>
      <w:bookmarkStart w:id="545" w:name="_Toc170312260"/>
      <w:bookmarkStart w:id="546" w:name="_Toc171483671"/>
      <w:bookmarkStart w:id="547" w:name="_Toc171503940"/>
      <w:bookmarkStart w:id="548" w:name="_Toc171504475"/>
      <w:bookmarkStart w:id="549" w:name="_Toc171513559"/>
      <w:bookmarkStart w:id="550" w:name="_Toc171514209"/>
      <w:bookmarkStart w:id="551" w:name="_Toc171516874"/>
      <w:bookmarkStart w:id="552" w:name="_Toc171517510"/>
      <w:bookmarkStart w:id="553" w:name="_Toc170296004"/>
      <w:bookmarkStart w:id="554" w:name="_Toc170296525"/>
      <w:bookmarkStart w:id="555" w:name="_Toc170311213"/>
      <w:bookmarkStart w:id="556" w:name="_Toc170311737"/>
      <w:bookmarkStart w:id="557" w:name="_Toc170312261"/>
      <w:bookmarkStart w:id="558" w:name="_Toc171483672"/>
      <w:bookmarkStart w:id="559" w:name="_Toc171503941"/>
      <w:bookmarkStart w:id="560" w:name="_Toc171504476"/>
      <w:bookmarkStart w:id="561" w:name="_Toc171513560"/>
      <w:bookmarkStart w:id="562" w:name="_Toc171514210"/>
      <w:bookmarkStart w:id="563" w:name="_Toc171516875"/>
      <w:bookmarkStart w:id="564" w:name="_Toc171517511"/>
      <w:bookmarkStart w:id="565" w:name="_Toc170296005"/>
      <w:bookmarkStart w:id="566" w:name="_Toc170296526"/>
      <w:bookmarkStart w:id="567" w:name="_Toc170311214"/>
      <w:bookmarkStart w:id="568" w:name="_Toc170311738"/>
      <w:bookmarkStart w:id="569" w:name="_Toc170312262"/>
      <w:bookmarkStart w:id="570" w:name="_Toc171483673"/>
      <w:bookmarkStart w:id="571" w:name="_Toc171503942"/>
      <w:bookmarkStart w:id="572" w:name="_Toc171504477"/>
      <w:bookmarkStart w:id="573" w:name="_Toc171513561"/>
      <w:bookmarkStart w:id="574" w:name="_Toc171514211"/>
      <w:bookmarkStart w:id="575" w:name="_Toc171516876"/>
      <w:bookmarkStart w:id="576" w:name="_Toc171517512"/>
      <w:bookmarkStart w:id="577" w:name="_Toc170296006"/>
      <w:bookmarkStart w:id="578" w:name="_Toc170296527"/>
      <w:bookmarkStart w:id="579" w:name="_Toc170311215"/>
      <w:bookmarkStart w:id="580" w:name="_Toc170311739"/>
      <w:bookmarkStart w:id="581" w:name="_Toc170312263"/>
      <w:bookmarkStart w:id="582" w:name="_Toc171483674"/>
      <w:bookmarkStart w:id="583" w:name="_Toc171503943"/>
      <w:bookmarkStart w:id="584" w:name="_Toc171504478"/>
      <w:bookmarkStart w:id="585" w:name="_Toc171513562"/>
      <w:bookmarkStart w:id="586" w:name="_Toc171514212"/>
      <w:bookmarkStart w:id="587" w:name="_Toc171516877"/>
      <w:bookmarkStart w:id="588" w:name="_Toc171517513"/>
      <w:bookmarkStart w:id="589" w:name="_Toc170296007"/>
      <w:bookmarkStart w:id="590" w:name="_Toc170296528"/>
      <w:bookmarkStart w:id="591" w:name="_Toc170311216"/>
      <w:bookmarkStart w:id="592" w:name="_Toc170311740"/>
      <w:bookmarkStart w:id="593" w:name="_Toc170312264"/>
      <w:bookmarkStart w:id="594" w:name="_Toc171483675"/>
      <w:bookmarkStart w:id="595" w:name="_Toc171503944"/>
      <w:bookmarkStart w:id="596" w:name="_Toc171504479"/>
      <w:bookmarkStart w:id="597" w:name="_Toc171513563"/>
      <w:bookmarkStart w:id="598" w:name="_Toc171514213"/>
      <w:bookmarkStart w:id="599" w:name="_Toc171516878"/>
      <w:bookmarkStart w:id="600" w:name="_Toc171517514"/>
      <w:bookmarkStart w:id="601" w:name="_Toc170296008"/>
      <w:bookmarkStart w:id="602" w:name="_Toc170296529"/>
      <w:bookmarkStart w:id="603" w:name="_Toc170311217"/>
      <w:bookmarkStart w:id="604" w:name="_Toc170311741"/>
      <w:bookmarkStart w:id="605" w:name="_Toc170312265"/>
      <w:bookmarkStart w:id="606" w:name="_Toc171483676"/>
      <w:bookmarkStart w:id="607" w:name="_Toc171503945"/>
      <w:bookmarkStart w:id="608" w:name="_Toc171504480"/>
      <w:bookmarkStart w:id="609" w:name="_Toc171513564"/>
      <w:bookmarkStart w:id="610" w:name="_Toc171514214"/>
      <w:bookmarkStart w:id="611" w:name="_Toc171516879"/>
      <w:bookmarkStart w:id="612" w:name="_Toc171517515"/>
      <w:bookmarkStart w:id="613" w:name="_Toc170296009"/>
      <w:bookmarkStart w:id="614" w:name="_Toc170296530"/>
      <w:bookmarkStart w:id="615" w:name="_Toc170311218"/>
      <w:bookmarkStart w:id="616" w:name="_Toc170311742"/>
      <w:bookmarkStart w:id="617" w:name="_Toc170312266"/>
      <w:bookmarkStart w:id="618" w:name="_Toc171483677"/>
      <w:bookmarkStart w:id="619" w:name="_Toc171503946"/>
      <w:bookmarkStart w:id="620" w:name="_Toc171504481"/>
      <w:bookmarkStart w:id="621" w:name="_Toc171513565"/>
      <w:bookmarkStart w:id="622" w:name="_Toc171514215"/>
      <w:bookmarkStart w:id="623" w:name="_Toc171516880"/>
      <w:bookmarkStart w:id="624" w:name="_Toc171517516"/>
      <w:bookmarkStart w:id="625" w:name="_Toc170296010"/>
      <w:bookmarkStart w:id="626" w:name="_Toc170296531"/>
      <w:bookmarkStart w:id="627" w:name="_Toc170311219"/>
      <w:bookmarkStart w:id="628" w:name="_Toc170311743"/>
      <w:bookmarkStart w:id="629" w:name="_Toc170312267"/>
      <w:bookmarkStart w:id="630" w:name="_Toc171483678"/>
      <w:bookmarkStart w:id="631" w:name="_Toc171503947"/>
      <w:bookmarkStart w:id="632" w:name="_Toc171504482"/>
      <w:bookmarkStart w:id="633" w:name="_Toc171513566"/>
      <w:bookmarkStart w:id="634" w:name="_Toc171514216"/>
      <w:bookmarkStart w:id="635" w:name="_Toc171516881"/>
      <w:bookmarkStart w:id="636" w:name="_Toc171517517"/>
      <w:bookmarkStart w:id="637" w:name="_Toc170296011"/>
      <w:bookmarkStart w:id="638" w:name="_Toc170296532"/>
      <w:bookmarkStart w:id="639" w:name="_Toc170311220"/>
      <w:bookmarkStart w:id="640" w:name="_Toc170311744"/>
      <w:bookmarkStart w:id="641" w:name="_Toc170312268"/>
      <w:bookmarkStart w:id="642" w:name="_Toc171483679"/>
      <w:bookmarkStart w:id="643" w:name="_Toc171503948"/>
      <w:bookmarkStart w:id="644" w:name="_Toc171504483"/>
      <w:bookmarkStart w:id="645" w:name="_Toc171513567"/>
      <w:bookmarkStart w:id="646" w:name="_Toc171514217"/>
      <w:bookmarkStart w:id="647" w:name="_Toc171516882"/>
      <w:bookmarkStart w:id="648" w:name="_Toc171517518"/>
      <w:bookmarkStart w:id="649" w:name="_Toc170296012"/>
      <w:bookmarkStart w:id="650" w:name="_Toc170296533"/>
      <w:bookmarkStart w:id="651" w:name="_Toc170311221"/>
      <w:bookmarkStart w:id="652" w:name="_Toc170311745"/>
      <w:bookmarkStart w:id="653" w:name="_Toc170312269"/>
      <w:bookmarkStart w:id="654" w:name="_Toc171483680"/>
      <w:bookmarkStart w:id="655" w:name="_Toc171503949"/>
      <w:bookmarkStart w:id="656" w:name="_Toc171504484"/>
      <w:bookmarkStart w:id="657" w:name="_Toc171513568"/>
      <w:bookmarkStart w:id="658" w:name="_Toc171514218"/>
      <w:bookmarkStart w:id="659" w:name="_Toc171516883"/>
      <w:bookmarkStart w:id="660" w:name="_Toc171517519"/>
      <w:bookmarkStart w:id="661" w:name="_Toc166687363"/>
      <w:bookmarkStart w:id="662" w:name="_Toc188651154"/>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Start w:id="663" w:name="_Toc256000039"/>
      <w:r w:rsidRPr="005D6E81">
        <w:t xml:space="preserve">Sampling Plan Confidence and Reliability </w:t>
      </w:r>
      <w:bookmarkEnd w:id="661"/>
      <w:r w:rsidRPr="005D6E81">
        <w:t>Statement</w:t>
      </w:r>
      <w:bookmarkEnd w:id="663"/>
      <w:bookmarkEnd w:id="662"/>
    </w:p>
    <w:p w:rsidR="00D171F8" w:rsidP="00837D3D" w14:paraId="341D34F4" w14:textId="77777777">
      <w:pPr>
        <w:pStyle w:val="Heading3"/>
      </w:pPr>
      <w:r>
        <w:t>Confidence statements about process performance must be included in every OQ and PQ report. Each tested CQA requires a separate confidence statement. An example of a confidence statement is: With 95% confidence, more than X% of units conform to requirements. X is the % Reliability based on criticality, SOH and SOE from Table 9.</w:t>
      </w:r>
    </w:p>
    <w:tbl>
      <w:tblPr>
        <w:tblStyle w:val="TableGrid"/>
        <w:tblW w:w="9792" w:type="dxa"/>
        <w:tblLook w:val="04A0"/>
      </w:tblPr>
      <w:tblGrid>
        <w:gridCol w:w="1195"/>
        <w:gridCol w:w="3372"/>
        <w:gridCol w:w="5225"/>
      </w:tblGrid>
      <w:tr w14:paraId="0F4DE4E6" w14:textId="77777777" w:rsidTr="005C08EE">
        <w:tblPrEx>
          <w:tblW w:w="9792" w:type="dxa"/>
          <w:tblLook w:val="04A0"/>
        </w:tblPrEx>
        <w:tc>
          <w:tcPr>
            <w:tcW w:w="535" w:type="dxa"/>
            <w:shd w:val="clear" w:color="auto" w:fill="F2F2F2" w:themeFill="background1" w:themeFillShade="F2"/>
            <w:vAlign w:val="center"/>
          </w:tcPr>
          <w:p w:rsidR="00824ECB" w:rsidRPr="00181B2C" w:rsidP="00837D3D" w14:paraId="14EB8D0D" w14:textId="77777777">
            <w:pPr>
              <w:pStyle w:val="Heading3"/>
              <w:rPr>
                <w:bCs/>
              </w:rPr>
            </w:pPr>
            <w:r w:rsidRPr="00181B2C">
              <w:t>No</w:t>
            </w:r>
          </w:p>
        </w:tc>
        <w:tc>
          <w:tcPr>
            <w:tcW w:w="3600" w:type="dxa"/>
            <w:shd w:val="clear" w:color="auto" w:fill="F2F2F2" w:themeFill="background1" w:themeFillShade="F2"/>
            <w:vAlign w:val="center"/>
          </w:tcPr>
          <w:p w:rsidR="00824ECB" w:rsidRPr="00181B2C" w:rsidP="00837D3D" w14:paraId="2B8EF108" w14:textId="77777777">
            <w:pPr>
              <w:pStyle w:val="Heading3"/>
              <w:rPr>
                <w:bCs/>
              </w:rPr>
            </w:pPr>
            <w:r w:rsidRPr="00181B2C">
              <w:t>Condition</w:t>
            </w:r>
          </w:p>
        </w:tc>
        <w:tc>
          <w:tcPr>
            <w:tcW w:w="5657" w:type="dxa"/>
            <w:shd w:val="clear" w:color="auto" w:fill="F2F2F2" w:themeFill="background1" w:themeFillShade="F2"/>
            <w:vAlign w:val="center"/>
          </w:tcPr>
          <w:p w:rsidR="00824ECB" w:rsidRPr="00181B2C" w:rsidP="00837D3D" w14:paraId="25C19A6C" w14:textId="77777777">
            <w:pPr>
              <w:pStyle w:val="Heading3"/>
              <w:rPr>
                <w:bCs/>
              </w:rPr>
            </w:pPr>
            <w:r w:rsidRPr="00181B2C">
              <w:t>Confidence Statement</w:t>
            </w:r>
          </w:p>
        </w:tc>
      </w:tr>
      <w:tr w14:paraId="08E9E8FE" w14:textId="77777777" w:rsidTr="005C08EE">
        <w:tblPrEx>
          <w:tblW w:w="9792" w:type="dxa"/>
          <w:tblLook w:val="04A0"/>
        </w:tblPrEx>
        <w:tc>
          <w:tcPr>
            <w:tcW w:w="535" w:type="dxa"/>
          </w:tcPr>
          <w:p w:rsidR="00824ECB" w:rsidP="00837D3D" w14:paraId="3A52FFDB" w14:textId="77777777">
            <w:pPr>
              <w:pStyle w:val="Heading3"/>
            </w:pPr>
            <w:r>
              <w:t>1</w:t>
            </w:r>
          </w:p>
        </w:tc>
        <w:tc>
          <w:tcPr>
            <w:tcW w:w="3600" w:type="dxa"/>
          </w:tcPr>
          <w:p w:rsidR="00824ECB" w:rsidP="00837D3D" w14:paraId="1D2E4628" w14:textId="77777777">
            <w:pPr>
              <w:pStyle w:val="Heading3"/>
            </w:pPr>
            <w:r>
              <w:t>OQ run with CQA of CTS-S3 passes the test.</w:t>
            </w:r>
          </w:p>
        </w:tc>
        <w:tc>
          <w:tcPr>
            <w:tcW w:w="5657" w:type="dxa"/>
          </w:tcPr>
          <w:p w:rsidR="00824ECB" w:rsidRPr="00A22D6B" w:rsidP="00837D3D" w14:paraId="13463EF5" w14:textId="77777777">
            <w:pPr>
              <w:pStyle w:val="Heading3"/>
            </w:pPr>
            <w:r w:rsidRPr="00A22D6B">
              <w:t>With 95% confidence, more than 93.5% of products conform to requirements when produced at worst-case manufacturing conditions.</w:t>
            </w:r>
          </w:p>
        </w:tc>
      </w:tr>
      <w:tr w14:paraId="451EFF37" w14:textId="77777777" w:rsidTr="005C08EE">
        <w:tblPrEx>
          <w:tblW w:w="9792" w:type="dxa"/>
          <w:tblLook w:val="04A0"/>
        </w:tblPrEx>
        <w:tc>
          <w:tcPr>
            <w:tcW w:w="535" w:type="dxa"/>
          </w:tcPr>
          <w:p w:rsidR="00824ECB" w:rsidP="00837D3D" w14:paraId="109BFD4B" w14:textId="77777777">
            <w:pPr>
              <w:pStyle w:val="Heading3"/>
            </w:pPr>
            <w:r>
              <w:t>2</w:t>
            </w:r>
          </w:p>
        </w:tc>
        <w:tc>
          <w:tcPr>
            <w:tcW w:w="3600" w:type="dxa"/>
          </w:tcPr>
          <w:p w:rsidR="00824ECB" w:rsidP="00837D3D" w14:paraId="4B50CF62" w14:textId="77777777">
            <w:pPr>
              <w:pStyle w:val="Heading3"/>
            </w:pPr>
            <w:r>
              <w:t>PQ run with CQA of CTS-S3 passes the test.</w:t>
            </w:r>
          </w:p>
        </w:tc>
        <w:tc>
          <w:tcPr>
            <w:tcW w:w="5657" w:type="dxa"/>
          </w:tcPr>
          <w:p w:rsidR="00824ECB" w:rsidP="00837D3D" w14:paraId="7630B1B9" w14:textId="77777777">
            <w:pPr>
              <w:pStyle w:val="Heading3"/>
            </w:pPr>
            <w:r>
              <w:t>With 95% confidence, more than 97% of products conform to requirements when produced under normal manufacturing conditions.</w:t>
            </w:r>
          </w:p>
        </w:tc>
      </w:tr>
    </w:tbl>
    <w:p w:rsidR="00824ECB" w:rsidRPr="00824ECB" w:rsidP="00FB2312" w14:paraId="3D44D6A7" w14:textId="077B4C41">
      <w:pPr>
        <w:pStyle w:val="Caption"/>
      </w:pPr>
      <w:r>
        <w:t xml:space="preserve">Tabel </w:t>
      </w:r>
      <w:r>
        <w:fldChar w:fldCharType="begin"/>
      </w:r>
      <w:r>
        <w:instrText xml:space="preserve"> SEQ Tabel \* ARABIC </w:instrText>
      </w:r>
      <w:r>
        <w:fldChar w:fldCharType="separate"/>
      </w:r>
      <w:r>
        <w:t>10</w:t>
      </w:r>
      <w:r>
        <w:fldChar w:fldCharType="end"/>
      </w:r>
      <w:r>
        <w:t xml:space="preserve">: </w:t>
      </w:r>
      <w:r w:rsidRPr="00501E03">
        <w:t>Examples of Confidence Statements</w:t>
      </w:r>
    </w:p>
    <w:p w:rsidR="00D171F8" w:rsidP="00837D3D" w14:paraId="5ADFC524" w14:textId="77777777">
      <w:pPr>
        <w:pStyle w:val="Heading3"/>
      </w:pPr>
      <w:r>
        <w:t>Note: These confidence statements describe an unacceptable level of performance which is rejected by the sampling plan most of the time. The statement “With 95% confidence, more than 97% or product conforms” means that 97% is an unacceptable performance level that the sampling plan rejects most of the time. To pass the associated sampling plan, the percent conformance must be significantly better than 97%, more like 99.9%.</w:t>
      </w:r>
    </w:p>
    <w:p w:rsidR="00D171F8" w:rsidP="00D171F8" w14:paraId="559ADAA2" w14:textId="77777777">
      <w:bookmarkStart w:id="664" w:name="_Toc171513572"/>
      <w:bookmarkStart w:id="665" w:name="_Toc171514222"/>
      <w:bookmarkStart w:id="666" w:name="_Toc171516887"/>
      <w:bookmarkStart w:id="667" w:name="_Toc171517523"/>
      <w:bookmarkStart w:id="668" w:name="_Toc171524395"/>
      <w:bookmarkStart w:id="669" w:name="_Toc171524478"/>
      <w:bookmarkStart w:id="670" w:name="_Toc171609192"/>
      <w:bookmarkStart w:id="671" w:name="_Toc171609274"/>
      <w:bookmarkStart w:id="672" w:name="_Toc172802188"/>
      <w:bookmarkStart w:id="673" w:name="_Toc174607127"/>
      <w:bookmarkStart w:id="674" w:name="_Toc174607211"/>
      <w:bookmarkStart w:id="675" w:name="_Toc171513573"/>
      <w:bookmarkStart w:id="676" w:name="_Toc171514223"/>
      <w:bookmarkStart w:id="677" w:name="_Toc171516888"/>
      <w:bookmarkStart w:id="678" w:name="_Toc171517524"/>
      <w:bookmarkStart w:id="679" w:name="_Toc171524396"/>
      <w:bookmarkStart w:id="680" w:name="_Toc171524479"/>
      <w:bookmarkStart w:id="681" w:name="_Toc171609193"/>
      <w:bookmarkStart w:id="682" w:name="_Toc171609275"/>
      <w:bookmarkStart w:id="683" w:name="_Toc172802189"/>
      <w:bookmarkStart w:id="684" w:name="_Toc174607128"/>
      <w:bookmarkStart w:id="685" w:name="_Toc174607212"/>
      <w:bookmarkStart w:id="686" w:name="_Toc171513574"/>
      <w:bookmarkStart w:id="687" w:name="_Toc171514224"/>
      <w:bookmarkStart w:id="688" w:name="_Toc171516889"/>
      <w:bookmarkStart w:id="689" w:name="_Toc171517525"/>
      <w:bookmarkStart w:id="690" w:name="_Toc171524397"/>
      <w:bookmarkStart w:id="691" w:name="_Toc171524480"/>
      <w:bookmarkStart w:id="692" w:name="_Toc171609194"/>
      <w:bookmarkStart w:id="693" w:name="_Toc171609276"/>
      <w:bookmarkStart w:id="694" w:name="_Toc172802190"/>
      <w:bookmarkStart w:id="695" w:name="_Toc174607129"/>
      <w:bookmarkStart w:id="696" w:name="_Toc174607213"/>
      <w:bookmarkStart w:id="697" w:name="_Toc171513575"/>
      <w:bookmarkStart w:id="698" w:name="_Toc171514225"/>
      <w:bookmarkStart w:id="699" w:name="_Toc171516890"/>
      <w:bookmarkStart w:id="700" w:name="_Toc171517526"/>
      <w:bookmarkStart w:id="701" w:name="_Toc171524398"/>
      <w:bookmarkStart w:id="702" w:name="_Toc171524481"/>
      <w:bookmarkStart w:id="703" w:name="_Toc171609195"/>
      <w:bookmarkStart w:id="704" w:name="_Toc171609277"/>
      <w:bookmarkStart w:id="705" w:name="_Toc172802191"/>
      <w:bookmarkStart w:id="706" w:name="_Toc174607130"/>
      <w:bookmarkStart w:id="707" w:name="_Toc174607214"/>
      <w:bookmarkStart w:id="708" w:name="_Toc171513576"/>
      <w:bookmarkStart w:id="709" w:name="_Toc171514226"/>
      <w:bookmarkStart w:id="710" w:name="_Toc171516891"/>
      <w:bookmarkStart w:id="711" w:name="_Toc171517527"/>
      <w:bookmarkStart w:id="712" w:name="_Toc171524399"/>
      <w:bookmarkStart w:id="713" w:name="_Toc171524482"/>
      <w:bookmarkStart w:id="714" w:name="_Toc171609196"/>
      <w:bookmarkStart w:id="715" w:name="_Toc171609278"/>
      <w:bookmarkStart w:id="716" w:name="_Toc172802192"/>
      <w:bookmarkStart w:id="717" w:name="_Toc174607131"/>
      <w:bookmarkStart w:id="718" w:name="_Toc174607215"/>
      <w:bookmarkStart w:id="719" w:name="_Toc171513577"/>
      <w:bookmarkStart w:id="720" w:name="_Toc171514227"/>
      <w:bookmarkStart w:id="721" w:name="_Toc171516892"/>
      <w:bookmarkStart w:id="722" w:name="_Toc171517528"/>
      <w:bookmarkStart w:id="723" w:name="_Toc171524400"/>
      <w:bookmarkStart w:id="724" w:name="_Toc171524483"/>
      <w:bookmarkStart w:id="725" w:name="_Toc171609197"/>
      <w:bookmarkStart w:id="726" w:name="_Toc171609279"/>
      <w:bookmarkStart w:id="727" w:name="_Toc172802193"/>
      <w:bookmarkStart w:id="728" w:name="_Toc174607132"/>
      <w:bookmarkStart w:id="729" w:name="_Toc174607216"/>
      <w:bookmarkStart w:id="730" w:name="_Toc171513578"/>
      <w:bookmarkStart w:id="731" w:name="_Toc171514228"/>
      <w:bookmarkStart w:id="732" w:name="_Toc171516893"/>
      <w:bookmarkStart w:id="733" w:name="_Toc171517529"/>
      <w:bookmarkStart w:id="734" w:name="_Toc171524401"/>
      <w:bookmarkStart w:id="735" w:name="_Toc171524484"/>
      <w:bookmarkStart w:id="736" w:name="_Toc171609198"/>
      <w:bookmarkStart w:id="737" w:name="_Toc171609280"/>
      <w:bookmarkStart w:id="738" w:name="_Toc172802194"/>
      <w:bookmarkStart w:id="739" w:name="_Toc174607133"/>
      <w:bookmarkStart w:id="740" w:name="_Toc174607217"/>
      <w:bookmarkStart w:id="741" w:name="_Toc171513579"/>
      <w:bookmarkStart w:id="742" w:name="_Toc171514229"/>
      <w:bookmarkStart w:id="743" w:name="_Toc171516894"/>
      <w:bookmarkStart w:id="744" w:name="_Toc171517530"/>
      <w:bookmarkStart w:id="745" w:name="_Toc171524402"/>
      <w:bookmarkStart w:id="746" w:name="_Toc171524485"/>
      <w:bookmarkStart w:id="747" w:name="_Toc171609199"/>
      <w:bookmarkStart w:id="748" w:name="_Toc171609281"/>
      <w:bookmarkStart w:id="749" w:name="_Toc172802195"/>
      <w:bookmarkStart w:id="750" w:name="_Toc174607134"/>
      <w:bookmarkStart w:id="751" w:name="_Toc174607218"/>
      <w:bookmarkStart w:id="752" w:name="_Toc171513580"/>
      <w:bookmarkStart w:id="753" w:name="_Toc171514230"/>
      <w:bookmarkStart w:id="754" w:name="_Toc171516895"/>
      <w:bookmarkStart w:id="755" w:name="_Toc171517531"/>
      <w:bookmarkStart w:id="756" w:name="_Toc171524403"/>
      <w:bookmarkStart w:id="757" w:name="_Toc171524486"/>
      <w:bookmarkStart w:id="758" w:name="_Toc171609200"/>
      <w:bookmarkStart w:id="759" w:name="_Toc171609282"/>
      <w:bookmarkStart w:id="760" w:name="_Toc172802196"/>
      <w:bookmarkStart w:id="761" w:name="_Toc174607135"/>
      <w:bookmarkStart w:id="762" w:name="_Toc174607219"/>
      <w:bookmarkStart w:id="763" w:name="_Toc171513581"/>
      <w:bookmarkStart w:id="764" w:name="_Toc171514231"/>
      <w:bookmarkStart w:id="765" w:name="_Toc171516896"/>
      <w:bookmarkStart w:id="766" w:name="_Toc171517532"/>
      <w:bookmarkStart w:id="767" w:name="_Toc171524404"/>
      <w:bookmarkStart w:id="768" w:name="_Toc171524487"/>
      <w:bookmarkStart w:id="769" w:name="_Toc171609201"/>
      <w:bookmarkStart w:id="770" w:name="_Toc171609283"/>
      <w:bookmarkStart w:id="771" w:name="_Toc172802197"/>
      <w:bookmarkStart w:id="772" w:name="_Toc174607136"/>
      <w:bookmarkStart w:id="773" w:name="_Toc174607220"/>
      <w:bookmarkStart w:id="774" w:name="_Toc171513582"/>
      <w:bookmarkStart w:id="775" w:name="_Toc171514232"/>
      <w:bookmarkStart w:id="776" w:name="_Toc171516897"/>
      <w:bookmarkStart w:id="777" w:name="_Toc171517533"/>
      <w:bookmarkStart w:id="778" w:name="_Toc171524405"/>
      <w:bookmarkStart w:id="779" w:name="_Toc171524488"/>
      <w:bookmarkStart w:id="780" w:name="_Toc171609202"/>
      <w:bookmarkStart w:id="781" w:name="_Toc171609284"/>
      <w:bookmarkStart w:id="782" w:name="_Toc172802198"/>
      <w:bookmarkStart w:id="783" w:name="_Toc174607137"/>
      <w:bookmarkStart w:id="784" w:name="_Toc174607221"/>
      <w:bookmarkStart w:id="785" w:name="_Toc171513583"/>
      <w:bookmarkStart w:id="786" w:name="_Toc171514233"/>
      <w:bookmarkStart w:id="787" w:name="_Toc171516898"/>
      <w:bookmarkStart w:id="788" w:name="_Toc171517534"/>
      <w:bookmarkStart w:id="789" w:name="_Toc171524406"/>
      <w:bookmarkStart w:id="790" w:name="_Toc171524489"/>
      <w:bookmarkStart w:id="791" w:name="_Toc171609203"/>
      <w:bookmarkStart w:id="792" w:name="_Toc171609285"/>
      <w:bookmarkStart w:id="793" w:name="_Toc172802199"/>
      <w:bookmarkStart w:id="794" w:name="_Toc174607138"/>
      <w:bookmarkStart w:id="795" w:name="_Toc174607222"/>
      <w:bookmarkStart w:id="796" w:name="_Toc171513584"/>
      <w:bookmarkStart w:id="797" w:name="_Toc171514234"/>
      <w:bookmarkStart w:id="798" w:name="_Toc171516899"/>
      <w:bookmarkStart w:id="799" w:name="_Toc171517535"/>
      <w:bookmarkStart w:id="800" w:name="_Toc171524407"/>
      <w:bookmarkStart w:id="801" w:name="_Toc171524490"/>
      <w:bookmarkStart w:id="802" w:name="_Toc171609204"/>
      <w:bookmarkStart w:id="803" w:name="_Toc171609286"/>
      <w:bookmarkStart w:id="804" w:name="_Toc172802200"/>
      <w:bookmarkStart w:id="805" w:name="_Toc174607139"/>
      <w:bookmarkStart w:id="806" w:name="_Toc174607223"/>
      <w:bookmarkStart w:id="807" w:name="_Toc171513585"/>
      <w:bookmarkStart w:id="808" w:name="_Toc171514235"/>
      <w:bookmarkStart w:id="809" w:name="_Toc171516900"/>
      <w:bookmarkStart w:id="810" w:name="_Toc171517536"/>
      <w:bookmarkStart w:id="811" w:name="_Toc171524408"/>
      <w:bookmarkStart w:id="812" w:name="_Toc171524491"/>
      <w:bookmarkStart w:id="813" w:name="_Toc171609205"/>
      <w:bookmarkStart w:id="814" w:name="_Toc171609287"/>
      <w:bookmarkStart w:id="815" w:name="_Toc172802201"/>
      <w:bookmarkStart w:id="816" w:name="_Toc174607140"/>
      <w:bookmarkStart w:id="817" w:name="_Toc174607224"/>
      <w:bookmarkStart w:id="818" w:name="_Toc171513586"/>
      <w:bookmarkStart w:id="819" w:name="_Toc171514236"/>
      <w:bookmarkStart w:id="820" w:name="_Toc171516901"/>
      <w:bookmarkStart w:id="821" w:name="_Toc171517537"/>
      <w:bookmarkStart w:id="822" w:name="_Toc171524409"/>
      <w:bookmarkStart w:id="823" w:name="_Toc171524492"/>
      <w:bookmarkStart w:id="824" w:name="_Toc171609206"/>
      <w:bookmarkStart w:id="825" w:name="_Toc171609288"/>
      <w:bookmarkStart w:id="826" w:name="_Toc172802202"/>
      <w:bookmarkStart w:id="827" w:name="_Toc174607141"/>
      <w:bookmarkStart w:id="828" w:name="_Toc174607225"/>
      <w:bookmarkStart w:id="829" w:name="_Toc171513587"/>
      <w:bookmarkStart w:id="830" w:name="_Toc171514237"/>
      <w:bookmarkStart w:id="831" w:name="_Toc171516902"/>
      <w:bookmarkStart w:id="832" w:name="_Toc171517538"/>
      <w:bookmarkStart w:id="833" w:name="_Toc171524410"/>
      <w:bookmarkStart w:id="834" w:name="_Toc171524493"/>
      <w:bookmarkStart w:id="835" w:name="_Toc171609207"/>
      <w:bookmarkStart w:id="836" w:name="_Toc171609289"/>
      <w:bookmarkStart w:id="837" w:name="_Toc172802203"/>
      <w:bookmarkStart w:id="838" w:name="_Toc174607142"/>
      <w:bookmarkStart w:id="839" w:name="_Toc174607226"/>
      <w:bookmarkStart w:id="840" w:name="_Toc171513588"/>
      <w:bookmarkStart w:id="841" w:name="_Toc171514238"/>
      <w:bookmarkStart w:id="842" w:name="_Toc171516903"/>
      <w:bookmarkStart w:id="843" w:name="_Toc171517539"/>
      <w:bookmarkStart w:id="844" w:name="_Toc171524411"/>
      <w:bookmarkStart w:id="845" w:name="_Toc171524494"/>
      <w:bookmarkStart w:id="846" w:name="_Toc171609208"/>
      <w:bookmarkStart w:id="847" w:name="_Toc171609290"/>
      <w:bookmarkStart w:id="848" w:name="_Toc172802204"/>
      <w:bookmarkStart w:id="849" w:name="_Toc174607143"/>
      <w:bookmarkStart w:id="850" w:name="_Toc174607227"/>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r>
        <w:br w:type="page"/>
      </w:r>
    </w:p>
    <w:p w:rsidR="00D171F8" w:rsidRPr="00C45B59" w:rsidP="00EE1EA6" w14:paraId="30C2498D" w14:textId="66553A75">
      <w:pPr>
        <w:pStyle w:val="Heading2"/>
      </w:pPr>
      <w:bookmarkStart w:id="851" w:name="_Toc188651155"/>
      <w:bookmarkStart w:id="852" w:name="_Toc256000040"/>
      <w:r w:rsidRPr="00C45B59">
        <w:t>Attribute sampling plans for 95% Confidence</w:t>
      </w:r>
      <w:bookmarkEnd w:id="852"/>
      <w:bookmarkEnd w:id="851"/>
    </w:p>
    <w:p w:rsidR="009B4B60" w:rsidP="00E13823" w14:paraId="75F47995" w14:textId="77777777">
      <w:r>
        <w:t>Use the sampling plans in Table 11 for all attribute pass/fail decisions unless a visual inspection of two or more CQAs is made. For the latter, use Table 12.</w:t>
      </w:r>
    </w:p>
    <w:p w:rsidR="00D171F8" w:rsidRPr="00C45B59" w:rsidP="00FB2312" w14:paraId="7C17E851" w14:textId="7291AE62"/>
    <w:tbl>
      <w:tblPr>
        <w:tblStyle w:val="TableGrid"/>
        <w:tblW w:w="10368" w:type="dxa"/>
        <w:tblInd w:w="-4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2159"/>
        <w:gridCol w:w="1344"/>
        <w:gridCol w:w="897"/>
        <w:gridCol w:w="861"/>
        <w:gridCol w:w="872"/>
        <w:gridCol w:w="1356"/>
        <w:gridCol w:w="1165"/>
        <w:gridCol w:w="842"/>
        <w:gridCol w:w="872"/>
      </w:tblGrid>
      <w:tr w14:paraId="5F3B6D55" w14:textId="77777777">
        <w:tblPrEx>
          <w:tblW w:w="10368" w:type="dxa"/>
          <w:tblInd w:w="-432" w:type="dxa"/>
          <w:tblLayout w:type="fixed"/>
          <w:tblLook w:val="04A0"/>
        </w:tblPrEx>
        <w:tc>
          <w:tcPr>
            <w:tcW w:w="2168" w:type="dxa"/>
            <w:vMerge w:val="restart"/>
            <w:shd w:val="clear" w:color="auto" w:fill="C1E5FF" w:themeFill="accent1" w:themeFillTint="33"/>
            <w:vAlign w:val="center"/>
          </w:tcPr>
          <w:p w:rsidR="009A33D0" w:rsidRPr="00837D3D" w:rsidP="00837D3D" w14:paraId="5EB24466" w14:textId="77777777">
            <w:pPr>
              <w:jc w:val="center"/>
              <w:rPr>
                <w:b/>
                <w:bCs/>
              </w:rPr>
            </w:pPr>
            <w:bookmarkStart w:id="853" w:name="_Hlk185659336"/>
            <w:r w:rsidRPr="00837D3D">
              <w:rPr>
                <w:b/>
                <w:bCs/>
              </w:rPr>
              <w:t>Criticality,</w:t>
            </w:r>
          </w:p>
          <w:p w:rsidR="009A33D0" w:rsidRPr="00066659" w:rsidP="00837D3D" w14:paraId="77F6DF95" w14:textId="77777777">
            <w:pPr>
              <w:jc w:val="center"/>
            </w:pPr>
            <w:r w:rsidRPr="00837D3D">
              <w:rPr>
                <w:b/>
                <w:bCs/>
              </w:rPr>
              <w:t>Severity of Harm (SOH), Severity of Effect (SOE)</w:t>
            </w:r>
          </w:p>
        </w:tc>
        <w:tc>
          <w:tcPr>
            <w:tcW w:w="3948" w:type="dxa"/>
            <w:gridSpan w:val="4"/>
            <w:shd w:val="clear" w:color="auto" w:fill="C1E5FF" w:themeFill="accent1" w:themeFillTint="33"/>
            <w:vAlign w:val="center"/>
          </w:tcPr>
          <w:p w:rsidR="009A33D0" w:rsidRPr="00837D3D" w:rsidP="00837D3D" w14:paraId="54EC51DC" w14:textId="77777777">
            <w:pPr>
              <w:jc w:val="center"/>
              <w:rPr>
                <w:b/>
                <w:bCs/>
              </w:rPr>
            </w:pPr>
            <w:r w:rsidRPr="00837D3D">
              <w:rPr>
                <w:b/>
                <w:bCs/>
              </w:rPr>
              <w:t>PQ</w:t>
            </w:r>
          </w:p>
        </w:tc>
        <w:tc>
          <w:tcPr>
            <w:tcW w:w="4252" w:type="dxa"/>
            <w:gridSpan w:val="4"/>
            <w:tcBorders>
              <w:top w:val="single" w:sz="8" w:space="0" w:color="auto"/>
              <w:bottom w:val="single" w:sz="6" w:space="0" w:color="auto"/>
            </w:tcBorders>
            <w:shd w:val="clear" w:color="auto" w:fill="C4F6D2" w:themeFill="accent3" w:themeFillTint="33"/>
            <w:vAlign w:val="center"/>
          </w:tcPr>
          <w:p w:rsidR="009A33D0" w:rsidRPr="00837D3D" w:rsidP="00837D3D" w14:paraId="090D5325" w14:textId="77777777">
            <w:pPr>
              <w:jc w:val="center"/>
              <w:rPr>
                <w:b/>
                <w:bCs/>
              </w:rPr>
            </w:pPr>
            <w:r w:rsidRPr="00837D3D">
              <w:rPr>
                <w:b/>
                <w:bCs/>
              </w:rPr>
              <w:t>OQ</w:t>
            </w:r>
          </w:p>
        </w:tc>
      </w:tr>
      <w:tr w14:paraId="772194D4" w14:textId="77777777" w:rsidTr="00151E02">
        <w:tblPrEx>
          <w:tblW w:w="10368" w:type="dxa"/>
          <w:tblInd w:w="-432" w:type="dxa"/>
          <w:tblLayout w:type="fixed"/>
          <w:tblLook w:val="04A0"/>
        </w:tblPrEx>
        <w:tc>
          <w:tcPr>
            <w:tcW w:w="2168" w:type="dxa"/>
            <w:vMerge/>
            <w:shd w:val="clear" w:color="auto" w:fill="C1E5FF" w:themeFill="accent1" w:themeFillTint="33"/>
            <w:vAlign w:val="center"/>
          </w:tcPr>
          <w:p w:rsidR="009A33D0" w:rsidRPr="00066659" w:rsidP="00837D3D" w14:paraId="05DE4D3E" w14:textId="77777777"/>
        </w:tc>
        <w:tc>
          <w:tcPr>
            <w:tcW w:w="1296" w:type="dxa"/>
            <w:shd w:val="clear" w:color="auto" w:fill="C1E5FF" w:themeFill="accent1" w:themeFillTint="33"/>
            <w:vAlign w:val="center"/>
          </w:tcPr>
          <w:p w:rsidR="009A33D0" w:rsidRPr="00066659" w:rsidP="00837D3D" w14:paraId="3C460490" w14:textId="77777777">
            <w:pPr>
              <w:rPr>
                <w:bCs/>
                <w:vertAlign w:val="superscript"/>
              </w:rPr>
            </w:pPr>
            <w:r w:rsidRPr="00066659">
              <w:t>Reliability</w:t>
            </w:r>
            <w:r w:rsidRPr="00066659">
              <w:rPr>
                <w:vertAlign w:val="superscript"/>
              </w:rPr>
              <w:t xml:space="preserve"> [3]</w:t>
            </w:r>
          </w:p>
        </w:tc>
        <w:tc>
          <w:tcPr>
            <w:tcW w:w="864" w:type="dxa"/>
            <w:shd w:val="clear" w:color="auto" w:fill="C1E5FF" w:themeFill="accent1" w:themeFillTint="33"/>
            <w:vAlign w:val="center"/>
          </w:tcPr>
          <w:p w:rsidR="009A33D0" w:rsidRPr="00066659" w:rsidP="00837D3D" w14:paraId="6529D543" w14:textId="77777777">
            <w:pPr>
              <w:rPr>
                <w:bCs/>
                <w:vertAlign w:val="superscript"/>
              </w:rPr>
            </w:pPr>
            <w:r w:rsidRPr="00066659">
              <w:t>Sample Size</w:t>
            </w:r>
            <w:r w:rsidRPr="00066659">
              <w:rPr>
                <w:vertAlign w:val="superscript"/>
              </w:rPr>
              <w:t xml:space="preserve"> [6]</w:t>
            </w:r>
          </w:p>
        </w:tc>
        <w:tc>
          <w:tcPr>
            <w:tcW w:w="864" w:type="dxa"/>
            <w:shd w:val="clear" w:color="auto" w:fill="C1E5FF" w:themeFill="accent1" w:themeFillTint="33"/>
            <w:vAlign w:val="center"/>
          </w:tcPr>
          <w:p w:rsidR="009A33D0" w:rsidRPr="00066659" w:rsidP="00837D3D" w14:paraId="10E75A16" w14:textId="77777777">
            <w:pPr>
              <w:rPr>
                <w:bCs/>
                <w:vertAlign w:val="superscript"/>
              </w:rPr>
            </w:pPr>
            <w:r w:rsidRPr="00066659">
              <w:t>RQL</w:t>
            </w:r>
            <w:r w:rsidRPr="00066659">
              <w:rPr>
                <w:vertAlign w:val="superscript"/>
              </w:rPr>
              <w:t xml:space="preserve"> [4]</w:t>
            </w:r>
          </w:p>
        </w:tc>
        <w:tc>
          <w:tcPr>
            <w:tcW w:w="875" w:type="dxa"/>
            <w:shd w:val="clear" w:color="auto" w:fill="C1E5FF" w:themeFill="accent1" w:themeFillTint="33"/>
            <w:vAlign w:val="center"/>
          </w:tcPr>
          <w:p w:rsidR="009A33D0" w:rsidRPr="00066659" w:rsidP="00837D3D" w14:paraId="1677C34E" w14:textId="77777777">
            <w:pPr>
              <w:rPr>
                <w:bCs/>
                <w:vertAlign w:val="superscript"/>
              </w:rPr>
            </w:pPr>
            <w:r w:rsidRPr="00066659">
              <w:t>AQL</w:t>
            </w:r>
            <w:r w:rsidRPr="00066659">
              <w:rPr>
                <w:vertAlign w:val="superscript"/>
              </w:rPr>
              <w:t xml:space="preserve"> [5]</w:t>
            </w:r>
          </w:p>
        </w:tc>
        <w:tc>
          <w:tcPr>
            <w:tcW w:w="1296" w:type="dxa"/>
            <w:tcBorders>
              <w:top w:val="single" w:sz="6" w:space="0" w:color="auto"/>
              <w:bottom w:val="single" w:sz="6" w:space="0" w:color="auto"/>
            </w:tcBorders>
            <w:shd w:val="clear" w:color="auto" w:fill="C4F6D2" w:themeFill="accent3" w:themeFillTint="33"/>
            <w:vAlign w:val="center"/>
          </w:tcPr>
          <w:p w:rsidR="009A33D0" w:rsidRPr="00066659" w:rsidP="00837D3D" w14:paraId="0B8C3B7D" w14:textId="77777777">
            <w:pPr>
              <w:rPr>
                <w:bCs/>
                <w:vertAlign w:val="superscript"/>
              </w:rPr>
            </w:pPr>
            <w:r w:rsidRPr="00066659">
              <w:t>Reliability</w:t>
            </w:r>
            <w:r w:rsidRPr="00066659">
              <w:rPr>
                <w:vertAlign w:val="superscript"/>
              </w:rPr>
              <w:t xml:space="preserve"> [3]</w:t>
            </w:r>
          </w:p>
        </w:tc>
        <w:tc>
          <w:tcPr>
            <w:tcW w:w="1170" w:type="dxa"/>
            <w:tcBorders>
              <w:top w:val="single" w:sz="6" w:space="0" w:color="auto"/>
              <w:bottom w:val="single" w:sz="6" w:space="0" w:color="auto"/>
            </w:tcBorders>
            <w:shd w:val="clear" w:color="auto" w:fill="C4F6D2" w:themeFill="accent3" w:themeFillTint="33"/>
            <w:vAlign w:val="center"/>
          </w:tcPr>
          <w:p w:rsidR="009A33D0" w:rsidRPr="00066659" w:rsidP="00837D3D" w14:paraId="1DD2EE13" w14:textId="77777777">
            <w:pPr>
              <w:rPr>
                <w:bCs/>
                <w:vertAlign w:val="superscript"/>
              </w:rPr>
            </w:pPr>
            <w:r w:rsidRPr="00066659">
              <w:t>Sample Size</w:t>
            </w:r>
            <w:r w:rsidRPr="00066659">
              <w:rPr>
                <w:vertAlign w:val="superscript"/>
              </w:rPr>
              <w:t xml:space="preserve"> [6]</w:t>
            </w:r>
          </w:p>
        </w:tc>
        <w:tc>
          <w:tcPr>
            <w:tcW w:w="845" w:type="dxa"/>
            <w:tcBorders>
              <w:top w:val="single" w:sz="6" w:space="0" w:color="auto"/>
              <w:bottom w:val="single" w:sz="6" w:space="0" w:color="auto"/>
            </w:tcBorders>
            <w:shd w:val="clear" w:color="auto" w:fill="C4F6D2" w:themeFill="accent3" w:themeFillTint="33"/>
            <w:vAlign w:val="center"/>
          </w:tcPr>
          <w:p w:rsidR="009A33D0" w:rsidRPr="00066659" w:rsidP="00837D3D" w14:paraId="40040334" w14:textId="77777777">
            <w:pPr>
              <w:rPr>
                <w:bCs/>
                <w:vertAlign w:val="superscript"/>
              </w:rPr>
            </w:pPr>
            <w:r w:rsidRPr="00066659">
              <w:t>RQL</w:t>
            </w:r>
            <w:r w:rsidRPr="00066659">
              <w:rPr>
                <w:vertAlign w:val="superscript"/>
              </w:rPr>
              <w:t xml:space="preserve"> [4]</w:t>
            </w:r>
          </w:p>
        </w:tc>
        <w:tc>
          <w:tcPr>
            <w:tcW w:w="875" w:type="dxa"/>
            <w:tcBorders>
              <w:top w:val="single" w:sz="6" w:space="0" w:color="auto"/>
              <w:bottom w:val="single" w:sz="6" w:space="0" w:color="auto"/>
            </w:tcBorders>
            <w:shd w:val="clear" w:color="auto" w:fill="C4F6D2" w:themeFill="accent3" w:themeFillTint="33"/>
            <w:vAlign w:val="center"/>
          </w:tcPr>
          <w:p w:rsidR="009A33D0" w:rsidRPr="00066659" w:rsidP="00837D3D" w14:paraId="74FBB37C" w14:textId="77777777">
            <w:pPr>
              <w:rPr>
                <w:bCs/>
                <w:vertAlign w:val="superscript"/>
              </w:rPr>
            </w:pPr>
            <w:r w:rsidRPr="00066659">
              <w:t>AQL</w:t>
            </w:r>
            <w:r w:rsidRPr="00066659">
              <w:rPr>
                <w:vertAlign w:val="superscript"/>
              </w:rPr>
              <w:t xml:space="preserve"> [5]</w:t>
            </w:r>
          </w:p>
        </w:tc>
      </w:tr>
      <w:tr w14:paraId="087B32AD" w14:textId="77777777">
        <w:tblPrEx>
          <w:tblW w:w="10368" w:type="dxa"/>
          <w:tblInd w:w="-432" w:type="dxa"/>
          <w:tblLayout w:type="fixed"/>
          <w:tblLook w:val="04A0"/>
        </w:tblPrEx>
        <w:tc>
          <w:tcPr>
            <w:tcW w:w="2168" w:type="dxa"/>
          </w:tcPr>
          <w:p w:rsidR="009A33D0" w:rsidRPr="005506B7" w:rsidP="00837D3D" w14:paraId="5E5781B9" w14:textId="77777777">
            <w:pPr>
              <w:rPr>
                <w:vertAlign w:val="superscript"/>
              </w:rPr>
            </w:pPr>
            <w:r w:rsidRPr="005506B7">
              <w:t>CTS-S4</w:t>
            </w:r>
            <w:r w:rsidRPr="005506B7">
              <w:rPr>
                <w:vertAlign w:val="superscript"/>
              </w:rPr>
              <w:t>[1]</w:t>
            </w:r>
          </w:p>
        </w:tc>
        <w:tc>
          <w:tcPr>
            <w:tcW w:w="1350" w:type="dxa"/>
          </w:tcPr>
          <w:p w:rsidR="009A33D0" w:rsidRPr="005506B7" w:rsidP="00837D3D" w14:paraId="5E188806" w14:textId="77777777">
            <w:r w:rsidRPr="005506B7">
              <w:t>99%</w:t>
            </w:r>
          </w:p>
        </w:tc>
        <w:tc>
          <w:tcPr>
            <w:tcW w:w="900" w:type="dxa"/>
          </w:tcPr>
          <w:p w:rsidR="009A33D0" w:rsidRPr="005506B7" w:rsidP="00837D3D" w14:paraId="6E2724A5" w14:textId="77777777">
            <w:r w:rsidRPr="005506B7">
              <w:t>n=299</w:t>
            </w:r>
          </w:p>
          <w:p w:rsidR="009A33D0" w:rsidRPr="005506B7" w:rsidP="00837D3D" w14:paraId="6EB5BF4E" w14:textId="77777777">
            <w:r w:rsidRPr="005506B7">
              <w:t>c=0</w:t>
            </w:r>
          </w:p>
        </w:tc>
        <w:tc>
          <w:tcPr>
            <w:tcW w:w="823" w:type="dxa"/>
          </w:tcPr>
          <w:p w:rsidR="009A33D0" w:rsidRPr="005506B7" w:rsidP="00837D3D" w14:paraId="4D790CCB" w14:textId="77777777">
            <w:r w:rsidRPr="005506B7">
              <w:t>1%</w:t>
            </w:r>
          </w:p>
        </w:tc>
        <w:tc>
          <w:tcPr>
            <w:tcW w:w="875" w:type="dxa"/>
          </w:tcPr>
          <w:p w:rsidR="009A33D0" w:rsidRPr="005506B7" w:rsidP="00837D3D" w14:paraId="37ECB285" w14:textId="77777777">
            <w:r w:rsidRPr="005506B7">
              <w:t>0.017%</w:t>
            </w:r>
          </w:p>
        </w:tc>
        <w:tc>
          <w:tcPr>
            <w:tcW w:w="1362" w:type="dxa"/>
            <w:tcBorders>
              <w:top w:val="single" w:sz="6" w:space="0" w:color="auto"/>
            </w:tcBorders>
          </w:tcPr>
          <w:p w:rsidR="009A33D0" w:rsidRPr="005506B7" w:rsidP="00837D3D" w14:paraId="0E896BF1" w14:textId="77777777">
            <w:r w:rsidRPr="005506B7">
              <w:t>95%</w:t>
            </w:r>
          </w:p>
        </w:tc>
        <w:tc>
          <w:tcPr>
            <w:tcW w:w="1170" w:type="dxa"/>
            <w:tcBorders>
              <w:top w:val="single" w:sz="6" w:space="0" w:color="auto"/>
            </w:tcBorders>
            <w:vAlign w:val="center"/>
          </w:tcPr>
          <w:p w:rsidR="009A33D0" w:rsidRPr="005506B7" w:rsidP="00837D3D" w14:paraId="48FEA4F0" w14:textId="77777777">
            <w:r w:rsidRPr="005506B7">
              <w:t>n=59</w:t>
            </w:r>
          </w:p>
          <w:p w:rsidR="009A33D0" w:rsidRPr="005506B7" w:rsidP="00837D3D" w14:paraId="6C0A615A" w14:textId="77777777">
            <w:r w:rsidRPr="005506B7">
              <w:t>c=0</w:t>
            </w:r>
          </w:p>
        </w:tc>
        <w:tc>
          <w:tcPr>
            <w:tcW w:w="845" w:type="dxa"/>
            <w:tcBorders>
              <w:top w:val="single" w:sz="6" w:space="0" w:color="auto"/>
            </w:tcBorders>
          </w:tcPr>
          <w:p w:rsidR="009A33D0" w:rsidRPr="005506B7" w:rsidP="00837D3D" w14:paraId="6545B58D" w14:textId="77777777">
            <w:r w:rsidRPr="005506B7">
              <w:t>5%</w:t>
            </w:r>
          </w:p>
        </w:tc>
        <w:tc>
          <w:tcPr>
            <w:tcW w:w="875" w:type="dxa"/>
            <w:tcBorders>
              <w:top w:val="single" w:sz="6" w:space="0" w:color="auto"/>
            </w:tcBorders>
          </w:tcPr>
          <w:p w:rsidR="009A33D0" w:rsidRPr="005506B7" w:rsidP="00837D3D" w14:paraId="3E52C5CE" w14:textId="77777777">
            <w:r w:rsidRPr="005506B7">
              <w:t>0.086%</w:t>
            </w:r>
          </w:p>
        </w:tc>
      </w:tr>
      <w:tr w14:paraId="60DE1321" w14:textId="77777777">
        <w:tblPrEx>
          <w:tblW w:w="10368" w:type="dxa"/>
          <w:tblInd w:w="-432" w:type="dxa"/>
          <w:tblLayout w:type="fixed"/>
          <w:tblLook w:val="04A0"/>
        </w:tblPrEx>
        <w:tc>
          <w:tcPr>
            <w:tcW w:w="2168" w:type="dxa"/>
          </w:tcPr>
          <w:p w:rsidR="009A33D0" w:rsidRPr="005506B7" w:rsidP="00837D3D" w14:paraId="7953CB38" w14:textId="77777777">
            <w:pPr>
              <w:rPr>
                <w:vertAlign w:val="superscript"/>
              </w:rPr>
            </w:pPr>
            <w:r w:rsidRPr="005506B7">
              <w:t>CTS-S3</w:t>
            </w:r>
            <w:r w:rsidRPr="005506B7">
              <w:rPr>
                <w:vertAlign w:val="superscript"/>
              </w:rPr>
              <w:t>[1]</w:t>
            </w:r>
          </w:p>
        </w:tc>
        <w:tc>
          <w:tcPr>
            <w:tcW w:w="1350" w:type="dxa"/>
          </w:tcPr>
          <w:p w:rsidR="009A33D0" w:rsidRPr="005506B7" w:rsidP="00837D3D" w14:paraId="1EA82246" w14:textId="77777777">
            <w:r w:rsidRPr="005506B7">
              <w:t>97%</w:t>
            </w:r>
          </w:p>
        </w:tc>
        <w:tc>
          <w:tcPr>
            <w:tcW w:w="900" w:type="dxa"/>
          </w:tcPr>
          <w:p w:rsidR="009A33D0" w:rsidRPr="005506B7" w:rsidP="00837D3D" w14:paraId="3337A5E1" w14:textId="77777777">
            <w:r w:rsidRPr="005506B7">
              <w:t>n=99</w:t>
            </w:r>
          </w:p>
          <w:p w:rsidR="009A33D0" w:rsidRPr="005506B7" w:rsidP="00837D3D" w14:paraId="78E38965" w14:textId="77777777">
            <w:r w:rsidRPr="005506B7">
              <w:t>c=0</w:t>
            </w:r>
          </w:p>
        </w:tc>
        <w:tc>
          <w:tcPr>
            <w:tcW w:w="823" w:type="dxa"/>
          </w:tcPr>
          <w:p w:rsidR="009A33D0" w:rsidRPr="005506B7" w:rsidP="00837D3D" w14:paraId="4C1ACDAB" w14:textId="77777777">
            <w:r w:rsidRPr="005506B7">
              <w:t>3%</w:t>
            </w:r>
          </w:p>
        </w:tc>
        <w:tc>
          <w:tcPr>
            <w:tcW w:w="875" w:type="dxa"/>
          </w:tcPr>
          <w:p w:rsidR="009A33D0" w:rsidRPr="005506B7" w:rsidP="00837D3D" w14:paraId="3B50FB34" w14:textId="77777777">
            <w:r w:rsidRPr="005506B7">
              <w:t>0.051%</w:t>
            </w:r>
          </w:p>
        </w:tc>
        <w:tc>
          <w:tcPr>
            <w:tcW w:w="1362" w:type="dxa"/>
          </w:tcPr>
          <w:p w:rsidR="009A33D0" w:rsidRPr="005506B7" w:rsidP="00837D3D" w14:paraId="2CC1CAD1" w14:textId="77777777">
            <w:r w:rsidRPr="005506B7">
              <w:t>93.5%</w:t>
            </w:r>
          </w:p>
        </w:tc>
        <w:tc>
          <w:tcPr>
            <w:tcW w:w="1170" w:type="dxa"/>
          </w:tcPr>
          <w:p w:rsidR="009A33D0" w:rsidRPr="005506B7" w:rsidP="00837D3D" w14:paraId="218E6DFF" w14:textId="77777777">
            <w:r w:rsidRPr="005506B7">
              <w:t>n=45</w:t>
            </w:r>
          </w:p>
          <w:p w:rsidR="009A33D0" w:rsidRPr="005506B7" w:rsidP="00837D3D" w14:paraId="701EA0B5" w14:textId="77777777">
            <w:r w:rsidRPr="005506B7">
              <w:t>c=0</w:t>
            </w:r>
          </w:p>
        </w:tc>
        <w:tc>
          <w:tcPr>
            <w:tcW w:w="845" w:type="dxa"/>
          </w:tcPr>
          <w:p w:rsidR="009A33D0" w:rsidRPr="005506B7" w:rsidP="00837D3D" w14:paraId="62082E1F" w14:textId="77777777">
            <w:r w:rsidRPr="005506B7">
              <w:t>6.5%</w:t>
            </w:r>
          </w:p>
        </w:tc>
        <w:tc>
          <w:tcPr>
            <w:tcW w:w="875" w:type="dxa"/>
          </w:tcPr>
          <w:p w:rsidR="009A33D0" w:rsidRPr="005506B7" w:rsidP="00837D3D" w14:paraId="6EDE4A87" w14:textId="77777777">
            <w:r w:rsidRPr="005506B7">
              <w:t>0.11%</w:t>
            </w:r>
          </w:p>
        </w:tc>
      </w:tr>
      <w:tr w14:paraId="3DA745D3" w14:textId="77777777">
        <w:tblPrEx>
          <w:tblW w:w="10368" w:type="dxa"/>
          <w:tblInd w:w="-432" w:type="dxa"/>
          <w:tblLayout w:type="fixed"/>
          <w:tblLook w:val="04A0"/>
        </w:tblPrEx>
        <w:tc>
          <w:tcPr>
            <w:tcW w:w="2168" w:type="dxa"/>
            <w:vAlign w:val="center"/>
          </w:tcPr>
          <w:p w:rsidR="009A33D0" w:rsidRPr="005506B7" w:rsidP="00837D3D" w14:paraId="4290BD05" w14:textId="77777777">
            <w:pPr>
              <w:rPr>
                <w:vertAlign w:val="superscript"/>
              </w:rPr>
            </w:pPr>
            <w:r w:rsidRPr="005506B7">
              <w:t>CTS-S2</w:t>
            </w:r>
            <w:r w:rsidRPr="005506B7">
              <w:rPr>
                <w:vertAlign w:val="superscript"/>
              </w:rPr>
              <w:t>[1]</w:t>
            </w:r>
          </w:p>
          <w:p w:rsidR="009A33D0" w:rsidP="00837D3D" w14:paraId="300774A5" w14:textId="77777777">
            <w:pPr>
              <w:rPr>
                <w:vertAlign w:val="superscript"/>
              </w:rPr>
            </w:pPr>
            <w:r w:rsidRPr="005506B7">
              <w:t>CTQ-SEV8</w:t>
            </w:r>
            <w:r w:rsidRPr="005506B7">
              <w:rPr>
                <w:vertAlign w:val="superscript"/>
              </w:rPr>
              <w:t>[2]</w:t>
            </w:r>
          </w:p>
          <w:p w:rsidR="00053345" w:rsidRPr="00053345" w:rsidP="00837D3D" w14:paraId="45B02F19" w14:textId="3E88F4A2">
            <w:r>
              <w:t>CTQ-S</w:t>
            </w:r>
          </w:p>
        </w:tc>
        <w:tc>
          <w:tcPr>
            <w:tcW w:w="1350" w:type="dxa"/>
            <w:vAlign w:val="center"/>
          </w:tcPr>
          <w:p w:rsidR="009A33D0" w:rsidRPr="005506B7" w:rsidP="00837D3D" w14:paraId="130BBA76" w14:textId="77777777">
            <w:r w:rsidRPr="005506B7">
              <w:t>95%</w:t>
            </w:r>
          </w:p>
        </w:tc>
        <w:tc>
          <w:tcPr>
            <w:tcW w:w="900" w:type="dxa"/>
            <w:vAlign w:val="center"/>
          </w:tcPr>
          <w:p w:rsidR="009A33D0" w:rsidRPr="005506B7" w:rsidP="00837D3D" w14:paraId="43FCF551" w14:textId="77777777">
            <w:r w:rsidRPr="005506B7">
              <w:t>n=59</w:t>
            </w:r>
          </w:p>
          <w:p w:rsidR="009A33D0" w:rsidRPr="005506B7" w:rsidP="00837D3D" w14:paraId="5A5C03F5" w14:textId="77777777">
            <w:r w:rsidRPr="005506B7">
              <w:t>c=0</w:t>
            </w:r>
          </w:p>
        </w:tc>
        <w:tc>
          <w:tcPr>
            <w:tcW w:w="823" w:type="dxa"/>
            <w:vAlign w:val="center"/>
          </w:tcPr>
          <w:p w:rsidR="009A33D0" w:rsidRPr="005506B7" w:rsidP="00837D3D" w14:paraId="1710BE8D" w14:textId="77777777">
            <w:r w:rsidRPr="005506B7">
              <w:t>5%</w:t>
            </w:r>
          </w:p>
        </w:tc>
        <w:tc>
          <w:tcPr>
            <w:tcW w:w="875" w:type="dxa"/>
            <w:vAlign w:val="center"/>
          </w:tcPr>
          <w:p w:rsidR="009A33D0" w:rsidRPr="005506B7" w:rsidP="00837D3D" w14:paraId="786AD3F4" w14:textId="77777777">
            <w:r w:rsidRPr="005506B7">
              <w:t>0.086%</w:t>
            </w:r>
          </w:p>
        </w:tc>
        <w:tc>
          <w:tcPr>
            <w:tcW w:w="1362" w:type="dxa"/>
            <w:vAlign w:val="center"/>
          </w:tcPr>
          <w:p w:rsidR="009A33D0" w:rsidRPr="005506B7" w:rsidP="00837D3D" w14:paraId="35522257" w14:textId="77777777">
            <w:r w:rsidRPr="005506B7">
              <w:t>90%</w:t>
            </w:r>
          </w:p>
        </w:tc>
        <w:tc>
          <w:tcPr>
            <w:tcW w:w="1170" w:type="dxa"/>
            <w:vAlign w:val="center"/>
          </w:tcPr>
          <w:p w:rsidR="009A33D0" w:rsidRPr="005506B7" w:rsidP="00837D3D" w14:paraId="2AFC3042" w14:textId="77777777">
            <w:r w:rsidRPr="005506B7">
              <w:t>n=29</w:t>
            </w:r>
          </w:p>
          <w:p w:rsidR="009A33D0" w:rsidRPr="005506B7" w:rsidP="00837D3D" w14:paraId="27D426D9" w14:textId="77777777">
            <w:r w:rsidRPr="005506B7">
              <w:t>c=0</w:t>
            </w:r>
          </w:p>
        </w:tc>
        <w:tc>
          <w:tcPr>
            <w:tcW w:w="845" w:type="dxa"/>
            <w:vAlign w:val="center"/>
          </w:tcPr>
          <w:p w:rsidR="009A33D0" w:rsidRPr="005506B7" w:rsidP="00837D3D" w14:paraId="10E328A1" w14:textId="77777777">
            <w:r w:rsidRPr="005506B7">
              <w:t>10%</w:t>
            </w:r>
          </w:p>
        </w:tc>
        <w:tc>
          <w:tcPr>
            <w:tcW w:w="875" w:type="dxa"/>
            <w:vAlign w:val="center"/>
          </w:tcPr>
          <w:p w:rsidR="009A33D0" w:rsidRPr="005506B7" w:rsidP="00837D3D" w14:paraId="759A5B23" w14:textId="77777777">
            <w:r w:rsidRPr="005506B7">
              <w:t>0.17%</w:t>
            </w:r>
          </w:p>
        </w:tc>
      </w:tr>
      <w:tr w14:paraId="1E89A03F" w14:textId="77777777">
        <w:tblPrEx>
          <w:tblW w:w="10368" w:type="dxa"/>
          <w:tblInd w:w="-432" w:type="dxa"/>
          <w:tblLayout w:type="fixed"/>
          <w:tblLook w:val="04A0"/>
        </w:tblPrEx>
        <w:tc>
          <w:tcPr>
            <w:tcW w:w="2168" w:type="dxa"/>
            <w:vAlign w:val="center"/>
          </w:tcPr>
          <w:p w:rsidR="009A33D0" w:rsidRPr="005506B7" w:rsidP="00837D3D" w14:paraId="552E9016" w14:textId="77777777">
            <w:pPr>
              <w:rPr>
                <w:vertAlign w:val="superscript"/>
              </w:rPr>
            </w:pPr>
            <w:r w:rsidRPr="005506B7">
              <w:t>CTQ-SEV5</w:t>
            </w:r>
            <w:r w:rsidRPr="005506B7">
              <w:rPr>
                <w:vertAlign w:val="superscript"/>
              </w:rPr>
              <w:t>[2]</w:t>
            </w:r>
          </w:p>
        </w:tc>
        <w:tc>
          <w:tcPr>
            <w:tcW w:w="1350" w:type="dxa"/>
            <w:vAlign w:val="center"/>
          </w:tcPr>
          <w:p w:rsidR="009A33D0" w:rsidRPr="005506B7" w:rsidP="00837D3D" w14:paraId="765A6D10" w14:textId="77777777">
            <w:r w:rsidRPr="005506B7">
              <w:t>93.5%</w:t>
            </w:r>
          </w:p>
        </w:tc>
        <w:tc>
          <w:tcPr>
            <w:tcW w:w="900" w:type="dxa"/>
            <w:vAlign w:val="center"/>
          </w:tcPr>
          <w:p w:rsidR="009A33D0" w:rsidRPr="005506B7" w:rsidP="00837D3D" w14:paraId="0616ED30" w14:textId="77777777">
            <w:r w:rsidRPr="005506B7">
              <w:t>n=45</w:t>
            </w:r>
          </w:p>
          <w:p w:rsidR="009A33D0" w:rsidRPr="005506B7" w:rsidP="00837D3D" w14:paraId="3895ECFB" w14:textId="77777777">
            <w:r w:rsidRPr="005506B7">
              <w:t>c=0</w:t>
            </w:r>
          </w:p>
        </w:tc>
        <w:tc>
          <w:tcPr>
            <w:tcW w:w="823" w:type="dxa"/>
            <w:vAlign w:val="center"/>
          </w:tcPr>
          <w:p w:rsidR="009A33D0" w:rsidRPr="005506B7" w:rsidP="00837D3D" w14:paraId="6AB128E8" w14:textId="77777777">
            <w:r w:rsidRPr="005506B7">
              <w:t>6.5%</w:t>
            </w:r>
          </w:p>
        </w:tc>
        <w:tc>
          <w:tcPr>
            <w:tcW w:w="875" w:type="dxa"/>
            <w:vAlign w:val="center"/>
          </w:tcPr>
          <w:p w:rsidR="009A33D0" w:rsidRPr="005506B7" w:rsidP="00837D3D" w14:paraId="297B3050" w14:textId="77777777">
            <w:r w:rsidRPr="005506B7">
              <w:t>0.11%</w:t>
            </w:r>
          </w:p>
        </w:tc>
        <w:tc>
          <w:tcPr>
            <w:tcW w:w="1362" w:type="dxa"/>
            <w:vAlign w:val="center"/>
          </w:tcPr>
          <w:p w:rsidR="009A33D0" w:rsidRPr="005506B7" w:rsidP="00837D3D" w14:paraId="75F93358" w14:textId="77777777">
            <w:r w:rsidRPr="005506B7">
              <w:t>85%</w:t>
            </w:r>
          </w:p>
        </w:tc>
        <w:tc>
          <w:tcPr>
            <w:tcW w:w="1170" w:type="dxa"/>
            <w:vAlign w:val="center"/>
          </w:tcPr>
          <w:p w:rsidR="009A33D0" w:rsidRPr="005506B7" w:rsidP="00837D3D" w14:paraId="74339F57" w14:textId="77777777">
            <w:r w:rsidRPr="005506B7">
              <w:t>n=19</w:t>
            </w:r>
          </w:p>
          <w:p w:rsidR="009A33D0" w:rsidRPr="005506B7" w:rsidP="00837D3D" w14:paraId="7B74CDDA" w14:textId="77777777">
            <w:r w:rsidRPr="005506B7">
              <w:t>c=0</w:t>
            </w:r>
          </w:p>
        </w:tc>
        <w:tc>
          <w:tcPr>
            <w:tcW w:w="845" w:type="dxa"/>
            <w:vAlign w:val="center"/>
          </w:tcPr>
          <w:p w:rsidR="009A33D0" w:rsidRPr="005506B7" w:rsidP="00837D3D" w14:paraId="4B0A3123" w14:textId="77777777">
            <w:r w:rsidRPr="005506B7">
              <w:t>15%</w:t>
            </w:r>
          </w:p>
        </w:tc>
        <w:tc>
          <w:tcPr>
            <w:tcW w:w="875" w:type="dxa"/>
            <w:vAlign w:val="center"/>
          </w:tcPr>
          <w:p w:rsidR="009A33D0" w:rsidRPr="005506B7" w:rsidP="00837D3D" w14:paraId="610BD8D0" w14:textId="77777777">
            <w:r w:rsidRPr="005506B7">
              <w:t>0.26%</w:t>
            </w:r>
          </w:p>
        </w:tc>
      </w:tr>
      <w:tr w14:paraId="0F765FD2" w14:textId="77777777">
        <w:tblPrEx>
          <w:tblW w:w="10368" w:type="dxa"/>
          <w:tblInd w:w="-432" w:type="dxa"/>
          <w:tblLayout w:type="fixed"/>
          <w:tblLook w:val="04A0"/>
        </w:tblPrEx>
        <w:tc>
          <w:tcPr>
            <w:tcW w:w="2168" w:type="dxa"/>
            <w:vAlign w:val="center"/>
          </w:tcPr>
          <w:p w:rsidR="009A33D0" w:rsidRPr="005506B7" w:rsidP="00837D3D" w14:paraId="20D54DF5" w14:textId="77777777">
            <w:pPr>
              <w:rPr>
                <w:vertAlign w:val="superscript"/>
              </w:rPr>
            </w:pPr>
            <w:r w:rsidRPr="005506B7">
              <w:t>CTQ-SEV3</w:t>
            </w:r>
            <w:r w:rsidRPr="005506B7">
              <w:rPr>
                <w:vertAlign w:val="superscript"/>
              </w:rPr>
              <w:t>[2]</w:t>
            </w:r>
          </w:p>
          <w:p w:rsidR="009A33D0" w:rsidRPr="005506B7" w:rsidP="00837D3D" w14:paraId="321C64E8" w14:textId="77777777">
            <w:pPr>
              <w:rPr>
                <w:vertAlign w:val="superscript"/>
              </w:rPr>
            </w:pPr>
            <w:r w:rsidRPr="005506B7">
              <w:t>CTQ-SEV1</w:t>
            </w:r>
            <w:r w:rsidRPr="005506B7">
              <w:rPr>
                <w:vertAlign w:val="superscript"/>
              </w:rPr>
              <w:t>[2]</w:t>
            </w:r>
          </w:p>
          <w:p w:rsidR="009A33D0" w:rsidRPr="005506B7" w:rsidP="00837D3D" w14:paraId="0657D4E7" w14:textId="77777777">
            <w:r w:rsidRPr="005506B7">
              <w:t>Key Process Indicator</w:t>
            </w:r>
          </w:p>
        </w:tc>
        <w:tc>
          <w:tcPr>
            <w:tcW w:w="1350" w:type="dxa"/>
            <w:vAlign w:val="center"/>
          </w:tcPr>
          <w:p w:rsidR="009A33D0" w:rsidRPr="005506B7" w:rsidP="00837D3D" w14:paraId="728F535E" w14:textId="77777777">
            <w:r w:rsidRPr="005506B7">
              <w:t>90%</w:t>
            </w:r>
          </w:p>
        </w:tc>
        <w:tc>
          <w:tcPr>
            <w:tcW w:w="900" w:type="dxa"/>
            <w:vAlign w:val="center"/>
          </w:tcPr>
          <w:p w:rsidR="009A33D0" w:rsidRPr="005506B7" w:rsidP="00837D3D" w14:paraId="7F7E38DA" w14:textId="77777777">
            <w:r w:rsidRPr="005506B7">
              <w:t>n=29</w:t>
            </w:r>
          </w:p>
          <w:p w:rsidR="009A33D0" w:rsidRPr="005506B7" w:rsidP="00837D3D" w14:paraId="2857FF34" w14:textId="77777777">
            <w:r w:rsidRPr="005506B7">
              <w:t>c=0</w:t>
            </w:r>
          </w:p>
        </w:tc>
        <w:tc>
          <w:tcPr>
            <w:tcW w:w="823" w:type="dxa"/>
            <w:vAlign w:val="center"/>
          </w:tcPr>
          <w:p w:rsidR="009A33D0" w:rsidRPr="005506B7" w:rsidP="00837D3D" w14:paraId="52E6390B" w14:textId="77777777">
            <w:r w:rsidRPr="005506B7">
              <w:t>10%</w:t>
            </w:r>
          </w:p>
        </w:tc>
        <w:tc>
          <w:tcPr>
            <w:tcW w:w="875" w:type="dxa"/>
            <w:vAlign w:val="center"/>
          </w:tcPr>
          <w:p w:rsidR="009A33D0" w:rsidRPr="005506B7" w:rsidP="00837D3D" w14:paraId="65273BF4" w14:textId="77777777">
            <w:r w:rsidRPr="005506B7">
              <w:t>0.17%</w:t>
            </w:r>
          </w:p>
        </w:tc>
        <w:tc>
          <w:tcPr>
            <w:tcW w:w="1362" w:type="dxa"/>
            <w:vAlign w:val="center"/>
          </w:tcPr>
          <w:p w:rsidR="009A33D0" w:rsidRPr="005506B7" w:rsidP="00837D3D" w14:paraId="2D33DB21" w14:textId="77777777">
            <w:r w:rsidRPr="005506B7">
              <w:t>80%</w:t>
            </w:r>
          </w:p>
        </w:tc>
        <w:tc>
          <w:tcPr>
            <w:tcW w:w="1170" w:type="dxa"/>
            <w:vAlign w:val="center"/>
          </w:tcPr>
          <w:p w:rsidR="009A33D0" w:rsidRPr="005506B7" w:rsidP="00837D3D" w14:paraId="396A5283" w14:textId="77777777">
            <w:r w:rsidRPr="005506B7">
              <w:t>n=14</w:t>
            </w:r>
          </w:p>
          <w:p w:rsidR="009A33D0" w:rsidRPr="005506B7" w:rsidP="00837D3D" w14:paraId="3EEC370B" w14:textId="77777777">
            <w:r w:rsidRPr="005506B7">
              <w:t>c=0</w:t>
            </w:r>
          </w:p>
        </w:tc>
        <w:tc>
          <w:tcPr>
            <w:tcW w:w="845" w:type="dxa"/>
            <w:vAlign w:val="center"/>
          </w:tcPr>
          <w:p w:rsidR="009A33D0" w:rsidRPr="005506B7" w:rsidP="00837D3D" w14:paraId="07087778" w14:textId="77777777">
            <w:r w:rsidRPr="005506B7">
              <w:t>20%</w:t>
            </w:r>
          </w:p>
        </w:tc>
        <w:tc>
          <w:tcPr>
            <w:tcW w:w="875" w:type="dxa"/>
            <w:vAlign w:val="center"/>
          </w:tcPr>
          <w:p w:rsidR="009A33D0" w:rsidRPr="005506B7" w:rsidP="00837D3D" w14:paraId="6ADBDB3B" w14:textId="77777777">
            <w:r w:rsidRPr="005506B7">
              <w:t>0.36%</w:t>
            </w:r>
          </w:p>
        </w:tc>
      </w:tr>
      <w:tr w14:paraId="4BA2355B" w14:textId="77777777">
        <w:tblPrEx>
          <w:tblW w:w="10368" w:type="dxa"/>
          <w:tblInd w:w="-432" w:type="dxa"/>
          <w:tblLayout w:type="fixed"/>
          <w:tblLook w:val="04A0"/>
        </w:tblPrEx>
        <w:tc>
          <w:tcPr>
            <w:tcW w:w="2168" w:type="dxa"/>
            <w:vAlign w:val="center"/>
          </w:tcPr>
          <w:p w:rsidR="009A33D0" w:rsidP="00837D3D" w14:paraId="4B46B8A8" w14:textId="77777777">
            <w:r>
              <w:t>Non-CTS-S2</w:t>
            </w:r>
          </w:p>
          <w:p w:rsidR="009A33D0" w:rsidRPr="005C65AE" w:rsidP="00837D3D" w14:paraId="7326D5CD" w14:textId="77777777">
            <w:r w:rsidRPr="005C65AE">
              <w:t>Non-CTS-S</w:t>
            </w:r>
            <w:r>
              <w:t>1</w:t>
            </w:r>
          </w:p>
          <w:p w:rsidR="009A33D0" w:rsidRPr="00A23A99" w:rsidP="00837D3D" w14:paraId="33E51255" w14:textId="77777777">
            <w:pPr>
              <w:rPr>
                <w:vertAlign w:val="superscript"/>
                <w:lang w:val="fr-FR"/>
              </w:rPr>
            </w:pPr>
            <w:r w:rsidRPr="00A23A99">
              <w:rPr>
                <w:lang w:val="fr-FR"/>
              </w:rPr>
              <w:t>Non-CTS-S0</w:t>
            </w:r>
          </w:p>
          <w:p w:rsidR="009A33D0" w:rsidRPr="005506B7" w:rsidP="00837D3D" w14:paraId="75FD2044" w14:textId="77777777">
            <w:pPr>
              <w:rPr>
                <w:lang w:val="fr-FR"/>
              </w:rPr>
            </w:pPr>
            <w:r w:rsidRPr="005506B7">
              <w:rPr>
                <w:lang w:val="fr-FR"/>
              </w:rPr>
              <w:t>Non-CTQ SEV8</w:t>
            </w:r>
          </w:p>
          <w:p w:rsidR="009A33D0" w:rsidRPr="005506B7" w:rsidP="00837D3D" w14:paraId="0ACBC54C" w14:textId="77777777">
            <w:pPr>
              <w:rPr>
                <w:lang w:val="fr-FR"/>
              </w:rPr>
            </w:pPr>
            <w:r w:rsidRPr="005506B7">
              <w:rPr>
                <w:lang w:val="fr-FR"/>
              </w:rPr>
              <w:t>Non-CTQ SEV5</w:t>
            </w:r>
          </w:p>
          <w:p w:rsidR="009A33D0" w:rsidRPr="005506B7" w:rsidP="00837D3D" w14:paraId="465C9A00" w14:textId="77777777">
            <w:pPr>
              <w:rPr>
                <w:lang w:val="fr-FR"/>
              </w:rPr>
            </w:pPr>
            <w:r w:rsidRPr="005506B7">
              <w:rPr>
                <w:lang w:val="fr-FR"/>
              </w:rPr>
              <w:t>Non-CTQ SEV3</w:t>
            </w:r>
          </w:p>
          <w:p w:rsidR="009A33D0" w:rsidRPr="005C65AE" w:rsidP="00837D3D" w14:paraId="698CBDFA" w14:textId="77777777">
            <w:pPr>
              <w:rPr>
                <w:lang w:val="fr-FR"/>
              </w:rPr>
            </w:pPr>
            <w:r w:rsidRPr="005C65AE">
              <w:rPr>
                <w:lang w:val="fr-FR"/>
              </w:rPr>
              <w:t>Non-CTQ SEV1</w:t>
            </w:r>
          </w:p>
        </w:tc>
        <w:tc>
          <w:tcPr>
            <w:tcW w:w="3960" w:type="dxa"/>
            <w:gridSpan w:val="4"/>
            <w:vAlign w:val="center"/>
          </w:tcPr>
          <w:p w:rsidR="009A33D0" w:rsidRPr="005506B7" w:rsidP="00837D3D" w14:paraId="576100B4" w14:textId="77777777">
            <w:r w:rsidRPr="005506B7">
              <w:t>No Sampling Plan</w:t>
            </w:r>
          </w:p>
          <w:p w:rsidR="009A33D0" w:rsidRPr="005506B7" w:rsidP="00837D3D" w14:paraId="3F64CDE9" w14:textId="77777777">
            <w:r w:rsidRPr="005506B7">
              <w:t>n=1 per PQ run</w:t>
            </w:r>
          </w:p>
        </w:tc>
        <w:tc>
          <w:tcPr>
            <w:tcW w:w="4240" w:type="dxa"/>
            <w:gridSpan w:val="4"/>
            <w:vAlign w:val="center"/>
          </w:tcPr>
          <w:p w:rsidR="009A33D0" w:rsidRPr="005506B7" w:rsidP="00837D3D" w14:paraId="193C394A" w14:textId="77777777">
            <w:r w:rsidRPr="005506B7">
              <w:t>No Sampling Plan</w:t>
            </w:r>
          </w:p>
          <w:p w:rsidR="009A33D0" w:rsidRPr="005506B7" w:rsidP="00837D3D" w14:paraId="366E96F6" w14:textId="77777777">
            <w:r w:rsidRPr="005506B7">
              <w:t>n=1 per OQ run</w:t>
            </w:r>
          </w:p>
        </w:tc>
      </w:tr>
      <w:tr w14:paraId="4A493F99" w14:textId="77777777">
        <w:tblPrEx>
          <w:tblW w:w="10368" w:type="dxa"/>
          <w:tblInd w:w="-432" w:type="dxa"/>
          <w:tblLayout w:type="fixed"/>
          <w:tblLook w:val="04A0"/>
        </w:tblPrEx>
        <w:tc>
          <w:tcPr>
            <w:tcW w:w="10368" w:type="dxa"/>
            <w:gridSpan w:val="9"/>
            <w:vAlign w:val="center"/>
          </w:tcPr>
          <w:p w:rsidR="009A33D0" w:rsidRPr="0097264D" w:rsidP="005C08EE" w14:paraId="28E5C3AB" w14:textId="5C3CE012">
            <w:pPr>
              <w:pStyle w:val="Doc-Text3"/>
              <w:spacing w:after="80"/>
              <w:rPr>
                <w:sz w:val="20"/>
              </w:rPr>
            </w:pPr>
            <w:r w:rsidRPr="0097264D">
              <w:rPr>
                <w:sz w:val="20"/>
              </w:rPr>
              <w:t xml:space="preserve">Note [1]: When a critical quality attribute (CQA) is </w:t>
            </w:r>
            <w:r>
              <w:rPr>
                <w:sz w:val="20"/>
              </w:rPr>
              <w:t>classified</w:t>
            </w:r>
            <w:r w:rsidRPr="0097264D">
              <w:rPr>
                <w:sz w:val="20"/>
              </w:rPr>
              <w:t xml:space="preserve"> as a CTS (e.g., on a drawing) and there is no severity of harm (SOH) </w:t>
            </w:r>
            <w:r w:rsidR="00053345">
              <w:rPr>
                <w:sz w:val="20"/>
              </w:rPr>
              <w:t>information available in a Philips FMEA document</w:t>
            </w:r>
            <w:r w:rsidRPr="0097264D">
              <w:rPr>
                <w:sz w:val="20"/>
              </w:rPr>
              <w:t xml:space="preserve">, the sampling plan for CTS-S4 shall be used.  </w:t>
            </w:r>
          </w:p>
          <w:p w:rsidR="009A33D0" w:rsidRPr="0097264D" w:rsidP="005C08EE" w14:paraId="11904846" w14:textId="58CA1B85">
            <w:pPr>
              <w:pStyle w:val="Doc-Text3"/>
              <w:spacing w:after="80"/>
              <w:rPr>
                <w:sz w:val="20"/>
              </w:rPr>
            </w:pPr>
            <w:r w:rsidRPr="0097264D">
              <w:rPr>
                <w:sz w:val="20"/>
              </w:rPr>
              <w:t xml:space="preserve">Note [2]: When a critical quality attribute (CQA) is </w:t>
            </w:r>
            <w:r>
              <w:rPr>
                <w:sz w:val="20"/>
              </w:rPr>
              <w:t>classified</w:t>
            </w:r>
            <w:r w:rsidRPr="0097264D">
              <w:rPr>
                <w:sz w:val="20"/>
              </w:rPr>
              <w:t xml:space="preserve"> as a CTQ (e.g., on a drawing) and there is no severity of effect </w:t>
            </w:r>
            <w:r>
              <w:rPr>
                <w:sz w:val="20"/>
              </w:rPr>
              <w:t xml:space="preserve">(SOE) </w:t>
            </w:r>
            <w:r w:rsidRPr="0097264D">
              <w:rPr>
                <w:sz w:val="20"/>
              </w:rPr>
              <w:t xml:space="preserve">information available in a </w:t>
            </w:r>
            <w:r w:rsidR="00053345">
              <w:rPr>
                <w:sz w:val="20"/>
              </w:rPr>
              <w:t xml:space="preserve">Philips </w:t>
            </w:r>
            <w:r>
              <w:rPr>
                <w:sz w:val="20"/>
              </w:rPr>
              <w:t>FMEA document</w:t>
            </w:r>
            <w:r w:rsidRPr="0097264D">
              <w:rPr>
                <w:sz w:val="20"/>
              </w:rPr>
              <w:t xml:space="preserve">, the sampling plan for CTQ-SEV8 </w:t>
            </w:r>
            <w:r>
              <w:rPr>
                <w:sz w:val="20"/>
              </w:rPr>
              <w:t xml:space="preserve">shall be </w:t>
            </w:r>
            <w:r w:rsidRPr="0097264D">
              <w:rPr>
                <w:sz w:val="20"/>
              </w:rPr>
              <w:t>used.</w:t>
            </w:r>
          </w:p>
          <w:p w:rsidR="009A33D0" w:rsidRPr="0097264D" w:rsidP="005C08EE" w14:paraId="67314E0A" w14:textId="77777777">
            <w:pPr>
              <w:pStyle w:val="Doc-Text3"/>
              <w:spacing w:after="80"/>
              <w:rPr>
                <w:sz w:val="20"/>
              </w:rPr>
            </w:pPr>
            <w:r w:rsidRPr="0097264D">
              <w:rPr>
                <w:sz w:val="20"/>
              </w:rPr>
              <w:t>Note [3]: The reliability is the percentage or proportion conforming. The reliability level is risk-based.</w:t>
            </w:r>
          </w:p>
          <w:p w:rsidR="009A33D0" w:rsidRPr="0097264D" w:rsidP="005C08EE" w14:paraId="698BC0B4" w14:textId="77777777">
            <w:pPr>
              <w:pStyle w:val="Doc-Text3"/>
              <w:spacing w:after="80"/>
              <w:rPr>
                <w:sz w:val="20"/>
              </w:rPr>
            </w:pPr>
            <w:r w:rsidRPr="0097264D">
              <w:rPr>
                <w:sz w:val="20"/>
              </w:rPr>
              <w:t xml:space="preserve">Note [4]: The RQL is the Reject Quality Level. RQL = 100% - % Reliability. The RQL is representative of the percentage or proportion nonconforming that the sampling plan rejects on a regular basis. </w:t>
            </w:r>
          </w:p>
          <w:p w:rsidR="009A33D0" w:rsidRPr="0097264D" w:rsidP="005C08EE" w14:paraId="316CA8E3" w14:textId="77777777">
            <w:pPr>
              <w:pStyle w:val="Doc-Text3"/>
              <w:spacing w:after="80"/>
              <w:rPr>
                <w:sz w:val="20"/>
              </w:rPr>
            </w:pPr>
            <w:r w:rsidRPr="0097264D">
              <w:rPr>
                <w:sz w:val="20"/>
              </w:rPr>
              <w:t>Note [5]: The AQL is the Accept Quality Level. The AQL is representative of the percent or proportion nonconforming that the sampling plan accepts on a regular basis.</w:t>
            </w:r>
            <w:r>
              <w:rPr>
                <w:sz w:val="20"/>
              </w:rPr>
              <w:t xml:space="preserve"> Note: It is not a requirement to meet the AQL. The AQL is merely presented for reference. The % in this column indicates the estimated defect rate the process should have for the sampling plan to accept the OQ or PQ run on a routine basis (95% of the time). Defect rates can be estimated based on similar processes with historic data or test results from process characterization, engineering runs, pilot builds, etc. </w:t>
            </w:r>
          </w:p>
          <w:p w:rsidR="009A33D0" w:rsidRPr="00296EDD" w:rsidP="00FB2312" w14:paraId="3097CABB" w14:textId="77777777">
            <w:pPr>
              <w:pStyle w:val="Doc-Text3"/>
              <w:keepNext/>
              <w:spacing w:after="0"/>
            </w:pPr>
            <w:r w:rsidRPr="0097264D">
              <w:rPr>
                <w:sz w:val="20"/>
              </w:rPr>
              <w:t xml:space="preserve">Note [6]: n is the number of samples to be tested, and c is the number of failures allowed. </w:t>
            </w:r>
            <w:r w:rsidRPr="008A0036">
              <w:rPr>
                <w:sz w:val="20"/>
              </w:rPr>
              <w:t xml:space="preserve">If the actual failure rate is greater than c (c=0 for all </w:t>
            </w:r>
            <w:r>
              <w:rPr>
                <w:sz w:val="20"/>
              </w:rPr>
              <w:t xml:space="preserve">attribute </w:t>
            </w:r>
            <w:r w:rsidRPr="008A0036">
              <w:rPr>
                <w:sz w:val="20"/>
              </w:rPr>
              <w:t xml:space="preserve">sampling plans) the </w:t>
            </w:r>
            <w:r>
              <w:rPr>
                <w:sz w:val="20"/>
              </w:rPr>
              <w:t>validation</w:t>
            </w:r>
            <w:r w:rsidRPr="008A0036">
              <w:rPr>
                <w:sz w:val="20"/>
              </w:rPr>
              <w:t xml:space="preserve"> study fails</w:t>
            </w:r>
            <w:r>
              <w:rPr>
                <w:sz w:val="20"/>
              </w:rPr>
              <w:t>. For PQ the required sample size may be pooled over all PQ runs but for OQ the sample size is for each worst-case condition or each OQ run.</w:t>
            </w:r>
          </w:p>
        </w:tc>
      </w:tr>
    </w:tbl>
    <w:bookmarkEnd w:id="853"/>
    <w:p w:rsidR="00D171F8" w:rsidRPr="00330372" w:rsidP="00FB2312" w14:paraId="73BDCA54" w14:textId="588C8BC2">
      <w:pPr>
        <w:pStyle w:val="Caption"/>
      </w:pPr>
      <w:r>
        <w:t xml:space="preserve">Table </w:t>
      </w:r>
      <w:r>
        <w:fldChar w:fldCharType="begin"/>
      </w:r>
      <w:r>
        <w:instrText xml:space="preserve"> SEQ Tabel \* ARABIC </w:instrText>
      </w:r>
      <w:r>
        <w:fldChar w:fldCharType="separate"/>
      </w:r>
      <w:r>
        <w:t>11</w:t>
      </w:r>
      <w:r>
        <w:fldChar w:fldCharType="end"/>
      </w:r>
      <w:r>
        <w:t xml:space="preserve">: </w:t>
      </w:r>
      <w:r w:rsidRPr="00D67AC2">
        <w:t>Risk-based Attribute sampling plans. 95% Confidence, α=5%, ß=5%.</w:t>
      </w:r>
    </w:p>
    <w:p w:rsidR="00D171F8" w:rsidP="00D171F8" w14:paraId="5307F80B" w14:textId="77777777">
      <w:r>
        <w:br w:type="page"/>
      </w:r>
    </w:p>
    <w:p w:rsidR="00D171F8" w:rsidP="00EE1EA6" w14:paraId="73C39DD4" w14:textId="0379D257">
      <w:pPr>
        <w:pStyle w:val="Heading2"/>
      </w:pPr>
      <w:bookmarkStart w:id="854" w:name="_Toc188651156"/>
      <w:bookmarkStart w:id="855" w:name="_Toc256000041"/>
      <w:r>
        <w:t>Attribute sampling plans for 90% Confidence</w:t>
      </w:r>
      <w:bookmarkEnd w:id="855"/>
      <w:bookmarkEnd w:id="854"/>
    </w:p>
    <w:p w:rsidR="00D171F8" w:rsidP="008819B6" w14:paraId="328AB412" w14:textId="77777777">
      <w:r>
        <w:t>Attribute sampling plans described in Table 12 are only allowed for visual inspections when two or more defects are inspected at the same time, meaning the part, element, or product could have two or more failure types. 90% confidence is acceptable for this type of inspection because defects are detected with fewer samples.</w:t>
      </w:r>
    </w:p>
    <w:p w:rsidR="00BC56A2" w:rsidRPr="005C65AE" w:rsidP="00FB2312" w14:paraId="333A2E59" w14:textId="66815333">
      <w:pPr>
        <w:jc w:val="both"/>
        <w:rPr>
          <w:sz w:val="20"/>
          <w:szCs w:val="18"/>
        </w:rPr>
      </w:pPr>
    </w:p>
    <w:tbl>
      <w:tblPr>
        <w:tblStyle w:val="TableGrid"/>
        <w:tblW w:w="10232" w:type="dxa"/>
        <w:tblInd w:w="-4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2132"/>
        <w:gridCol w:w="1350"/>
        <w:gridCol w:w="956"/>
        <w:gridCol w:w="693"/>
        <w:gridCol w:w="961"/>
        <w:gridCol w:w="1440"/>
        <w:gridCol w:w="900"/>
        <w:gridCol w:w="810"/>
        <w:gridCol w:w="990"/>
      </w:tblGrid>
      <w:tr w14:paraId="3F6CB892" w14:textId="77777777" w:rsidTr="00151E02">
        <w:tblPrEx>
          <w:tblW w:w="10232" w:type="dxa"/>
          <w:tblInd w:w="-432" w:type="dxa"/>
          <w:tblLayout w:type="fixed"/>
          <w:tblLook w:val="04A0"/>
        </w:tblPrEx>
        <w:tc>
          <w:tcPr>
            <w:tcW w:w="2132" w:type="dxa"/>
            <w:vMerge w:val="restart"/>
            <w:shd w:val="clear" w:color="auto" w:fill="C1E5FF" w:themeFill="accent1" w:themeFillTint="33"/>
            <w:vAlign w:val="center"/>
          </w:tcPr>
          <w:p w:rsidR="00BC56A2" w:rsidRPr="00837D3D" w:rsidP="00837D3D" w14:paraId="17C6CC0D" w14:textId="77777777">
            <w:pPr>
              <w:jc w:val="center"/>
              <w:rPr>
                <w:b/>
                <w:bCs/>
              </w:rPr>
            </w:pPr>
            <w:r w:rsidRPr="00837D3D">
              <w:rPr>
                <w:b/>
                <w:bCs/>
              </w:rPr>
              <w:t>Criticality,</w:t>
            </w:r>
          </w:p>
          <w:p w:rsidR="00BC56A2" w:rsidRPr="00CF6B6A" w:rsidP="00837D3D" w14:paraId="408ED1B5" w14:textId="77777777">
            <w:pPr>
              <w:jc w:val="center"/>
            </w:pPr>
            <w:r w:rsidRPr="00837D3D">
              <w:rPr>
                <w:b/>
                <w:bCs/>
              </w:rPr>
              <w:t>Severity of Harm (SOH), Severity of Effect (SOE)</w:t>
            </w:r>
          </w:p>
        </w:tc>
        <w:tc>
          <w:tcPr>
            <w:tcW w:w="3960" w:type="dxa"/>
            <w:gridSpan w:val="4"/>
            <w:shd w:val="clear" w:color="auto" w:fill="C1E5FF" w:themeFill="accent1" w:themeFillTint="33"/>
            <w:vAlign w:val="center"/>
          </w:tcPr>
          <w:p w:rsidR="00BC56A2" w:rsidRPr="00837D3D" w:rsidP="00837D3D" w14:paraId="420FF56E" w14:textId="77777777">
            <w:pPr>
              <w:jc w:val="center"/>
              <w:rPr>
                <w:b/>
                <w:bCs/>
              </w:rPr>
            </w:pPr>
            <w:r w:rsidRPr="00837D3D">
              <w:rPr>
                <w:b/>
                <w:bCs/>
              </w:rPr>
              <w:t>PQ</w:t>
            </w:r>
          </w:p>
        </w:tc>
        <w:tc>
          <w:tcPr>
            <w:tcW w:w="4140" w:type="dxa"/>
            <w:gridSpan w:val="4"/>
            <w:tcBorders>
              <w:top w:val="single" w:sz="8" w:space="0" w:color="auto"/>
              <w:bottom w:val="single" w:sz="6" w:space="0" w:color="auto"/>
            </w:tcBorders>
            <w:shd w:val="clear" w:color="auto" w:fill="C4F6D2" w:themeFill="accent3" w:themeFillTint="33"/>
            <w:vAlign w:val="center"/>
          </w:tcPr>
          <w:p w:rsidR="00BC56A2" w:rsidRPr="00837D3D" w:rsidP="00837D3D" w14:paraId="79474D48" w14:textId="77777777">
            <w:pPr>
              <w:jc w:val="center"/>
              <w:rPr>
                <w:b/>
                <w:bCs/>
              </w:rPr>
            </w:pPr>
            <w:r w:rsidRPr="00837D3D">
              <w:rPr>
                <w:b/>
                <w:bCs/>
              </w:rPr>
              <w:t>OQ</w:t>
            </w:r>
          </w:p>
        </w:tc>
      </w:tr>
      <w:tr w14:paraId="3AC47E39" w14:textId="77777777" w:rsidTr="00151E02">
        <w:tblPrEx>
          <w:tblW w:w="10232" w:type="dxa"/>
          <w:tblInd w:w="-432" w:type="dxa"/>
          <w:tblLayout w:type="fixed"/>
          <w:tblLook w:val="04A0"/>
        </w:tblPrEx>
        <w:tc>
          <w:tcPr>
            <w:tcW w:w="2132" w:type="dxa"/>
            <w:vMerge/>
            <w:shd w:val="clear" w:color="auto" w:fill="C1E5FF" w:themeFill="accent1" w:themeFillTint="33"/>
            <w:vAlign w:val="center"/>
          </w:tcPr>
          <w:p w:rsidR="00BC56A2" w:rsidRPr="00D865C9" w:rsidP="00837D3D" w14:paraId="48F184CB" w14:textId="77777777"/>
        </w:tc>
        <w:tc>
          <w:tcPr>
            <w:tcW w:w="1350" w:type="dxa"/>
            <w:shd w:val="clear" w:color="auto" w:fill="C1E5FF" w:themeFill="accent1" w:themeFillTint="33"/>
            <w:vAlign w:val="center"/>
          </w:tcPr>
          <w:p w:rsidR="00BC56A2" w:rsidRPr="00CF6B6A" w:rsidP="00837D3D" w14:paraId="74802BB8" w14:textId="77777777">
            <w:pPr>
              <w:rPr>
                <w:bCs/>
                <w:vertAlign w:val="superscript"/>
              </w:rPr>
            </w:pPr>
            <w:r w:rsidRPr="00CF6B6A">
              <w:t>Reliability</w:t>
            </w:r>
            <w:r w:rsidRPr="00CF6B6A">
              <w:rPr>
                <w:vertAlign w:val="superscript"/>
              </w:rPr>
              <w:t xml:space="preserve"> [3]</w:t>
            </w:r>
          </w:p>
        </w:tc>
        <w:tc>
          <w:tcPr>
            <w:tcW w:w="956" w:type="dxa"/>
            <w:shd w:val="clear" w:color="auto" w:fill="C1E5FF" w:themeFill="accent1" w:themeFillTint="33"/>
            <w:vAlign w:val="center"/>
          </w:tcPr>
          <w:p w:rsidR="00BC56A2" w:rsidRPr="00CF6B6A" w:rsidP="00837D3D" w14:paraId="741A3916" w14:textId="77777777">
            <w:pPr>
              <w:rPr>
                <w:bCs/>
                <w:vertAlign w:val="superscript"/>
              </w:rPr>
            </w:pPr>
            <w:r w:rsidRPr="00CF6B6A">
              <w:t>Sample Size</w:t>
            </w:r>
            <w:r w:rsidRPr="00CF6B6A">
              <w:rPr>
                <w:vertAlign w:val="superscript"/>
              </w:rPr>
              <w:t xml:space="preserve"> [6]</w:t>
            </w:r>
          </w:p>
        </w:tc>
        <w:tc>
          <w:tcPr>
            <w:tcW w:w="693" w:type="dxa"/>
            <w:shd w:val="clear" w:color="auto" w:fill="C1E5FF" w:themeFill="accent1" w:themeFillTint="33"/>
            <w:vAlign w:val="center"/>
          </w:tcPr>
          <w:p w:rsidR="00BC56A2" w:rsidRPr="00CF6B6A" w:rsidP="00837D3D" w14:paraId="2D0CFBF3" w14:textId="77777777">
            <w:pPr>
              <w:rPr>
                <w:bCs/>
                <w:vertAlign w:val="superscript"/>
              </w:rPr>
            </w:pPr>
            <w:r w:rsidRPr="00CF6B6A">
              <w:t>RQL</w:t>
            </w:r>
            <w:r w:rsidRPr="00CF6B6A">
              <w:rPr>
                <w:vertAlign w:val="superscript"/>
              </w:rPr>
              <w:t xml:space="preserve"> [4]</w:t>
            </w:r>
          </w:p>
        </w:tc>
        <w:tc>
          <w:tcPr>
            <w:tcW w:w="961" w:type="dxa"/>
            <w:shd w:val="clear" w:color="auto" w:fill="C1E5FF" w:themeFill="accent1" w:themeFillTint="33"/>
            <w:vAlign w:val="center"/>
          </w:tcPr>
          <w:p w:rsidR="00BC56A2" w:rsidRPr="00CF6B6A" w:rsidP="00837D3D" w14:paraId="662A75F6" w14:textId="77777777">
            <w:pPr>
              <w:rPr>
                <w:bCs/>
                <w:vertAlign w:val="superscript"/>
              </w:rPr>
            </w:pPr>
            <w:r w:rsidRPr="00CF6B6A">
              <w:t>AQL</w:t>
            </w:r>
            <w:r w:rsidRPr="00CF6B6A">
              <w:rPr>
                <w:vertAlign w:val="superscript"/>
              </w:rPr>
              <w:t xml:space="preserve"> [5]</w:t>
            </w:r>
          </w:p>
        </w:tc>
        <w:tc>
          <w:tcPr>
            <w:tcW w:w="1440" w:type="dxa"/>
            <w:tcBorders>
              <w:top w:val="single" w:sz="6" w:space="0" w:color="auto"/>
              <w:bottom w:val="single" w:sz="6" w:space="0" w:color="auto"/>
            </w:tcBorders>
            <w:shd w:val="clear" w:color="auto" w:fill="C4F6D2" w:themeFill="accent3" w:themeFillTint="33"/>
            <w:vAlign w:val="center"/>
          </w:tcPr>
          <w:p w:rsidR="00BC56A2" w:rsidRPr="00CF6B6A" w:rsidP="00837D3D" w14:paraId="05FC52A9" w14:textId="77777777">
            <w:pPr>
              <w:rPr>
                <w:bCs/>
                <w:vertAlign w:val="superscript"/>
              </w:rPr>
            </w:pPr>
            <w:r w:rsidRPr="00CF6B6A">
              <w:t>Reliability</w:t>
            </w:r>
            <w:r w:rsidRPr="00CF6B6A">
              <w:rPr>
                <w:vertAlign w:val="superscript"/>
              </w:rPr>
              <w:t xml:space="preserve"> [3]</w:t>
            </w:r>
          </w:p>
        </w:tc>
        <w:tc>
          <w:tcPr>
            <w:tcW w:w="900" w:type="dxa"/>
            <w:tcBorders>
              <w:top w:val="single" w:sz="6" w:space="0" w:color="auto"/>
              <w:bottom w:val="single" w:sz="6" w:space="0" w:color="auto"/>
            </w:tcBorders>
            <w:shd w:val="clear" w:color="auto" w:fill="C4F6D2" w:themeFill="accent3" w:themeFillTint="33"/>
            <w:vAlign w:val="center"/>
          </w:tcPr>
          <w:p w:rsidR="00BC56A2" w:rsidRPr="00CF6B6A" w:rsidP="00837D3D" w14:paraId="3BFBCD46" w14:textId="77777777">
            <w:pPr>
              <w:rPr>
                <w:bCs/>
                <w:vertAlign w:val="superscript"/>
              </w:rPr>
            </w:pPr>
            <w:r w:rsidRPr="00CF6B6A">
              <w:t>Sample Size</w:t>
            </w:r>
            <w:r w:rsidRPr="00CF6B6A">
              <w:rPr>
                <w:vertAlign w:val="superscript"/>
              </w:rPr>
              <w:t xml:space="preserve"> [6]</w:t>
            </w:r>
          </w:p>
        </w:tc>
        <w:tc>
          <w:tcPr>
            <w:tcW w:w="810" w:type="dxa"/>
            <w:tcBorders>
              <w:top w:val="single" w:sz="6" w:space="0" w:color="auto"/>
              <w:bottom w:val="single" w:sz="6" w:space="0" w:color="auto"/>
            </w:tcBorders>
            <w:shd w:val="clear" w:color="auto" w:fill="C4F6D2" w:themeFill="accent3" w:themeFillTint="33"/>
            <w:vAlign w:val="center"/>
          </w:tcPr>
          <w:p w:rsidR="00BC56A2" w:rsidRPr="00CF6B6A" w:rsidP="00837D3D" w14:paraId="45FED2E4" w14:textId="77777777">
            <w:pPr>
              <w:rPr>
                <w:bCs/>
                <w:vertAlign w:val="superscript"/>
              </w:rPr>
            </w:pPr>
            <w:r w:rsidRPr="00CF6B6A">
              <w:t>RQL</w:t>
            </w:r>
            <w:r w:rsidRPr="00CF6B6A">
              <w:rPr>
                <w:vertAlign w:val="superscript"/>
              </w:rPr>
              <w:t xml:space="preserve"> [4]</w:t>
            </w:r>
          </w:p>
        </w:tc>
        <w:tc>
          <w:tcPr>
            <w:tcW w:w="990" w:type="dxa"/>
            <w:tcBorders>
              <w:top w:val="single" w:sz="6" w:space="0" w:color="auto"/>
              <w:bottom w:val="single" w:sz="6" w:space="0" w:color="auto"/>
            </w:tcBorders>
            <w:shd w:val="clear" w:color="auto" w:fill="C4F6D2" w:themeFill="accent3" w:themeFillTint="33"/>
            <w:vAlign w:val="center"/>
          </w:tcPr>
          <w:p w:rsidR="00BC56A2" w:rsidRPr="00CF6B6A" w:rsidP="00837D3D" w14:paraId="5BED5436" w14:textId="77777777">
            <w:pPr>
              <w:rPr>
                <w:bCs/>
                <w:vertAlign w:val="superscript"/>
              </w:rPr>
            </w:pPr>
            <w:r w:rsidRPr="00CF6B6A">
              <w:t>AQL</w:t>
            </w:r>
            <w:r w:rsidRPr="00CF6B6A">
              <w:rPr>
                <w:vertAlign w:val="superscript"/>
              </w:rPr>
              <w:t xml:space="preserve"> [5]</w:t>
            </w:r>
          </w:p>
        </w:tc>
      </w:tr>
      <w:tr w14:paraId="20DEF7EF" w14:textId="77777777" w:rsidTr="00151E02">
        <w:tblPrEx>
          <w:tblW w:w="10232" w:type="dxa"/>
          <w:tblInd w:w="-432" w:type="dxa"/>
          <w:tblLayout w:type="fixed"/>
          <w:tblLook w:val="04A0"/>
        </w:tblPrEx>
        <w:tc>
          <w:tcPr>
            <w:tcW w:w="2132" w:type="dxa"/>
          </w:tcPr>
          <w:p w:rsidR="00BC56A2" w:rsidRPr="00CF6B6A" w:rsidP="00837D3D" w14:paraId="1F2B2C0C" w14:textId="77777777">
            <w:pPr>
              <w:rPr>
                <w:vertAlign w:val="superscript"/>
              </w:rPr>
            </w:pPr>
            <w:r w:rsidRPr="00CF6B6A">
              <w:t>CTS-S4</w:t>
            </w:r>
            <w:r w:rsidRPr="00CF6B6A">
              <w:rPr>
                <w:vertAlign w:val="superscript"/>
              </w:rPr>
              <w:t>[1]</w:t>
            </w:r>
          </w:p>
        </w:tc>
        <w:tc>
          <w:tcPr>
            <w:tcW w:w="1350" w:type="dxa"/>
          </w:tcPr>
          <w:p w:rsidR="00BC56A2" w:rsidRPr="00CF6B6A" w:rsidP="00837D3D" w14:paraId="56458BF2" w14:textId="77777777">
            <w:r w:rsidRPr="00CF6B6A">
              <w:t>99%</w:t>
            </w:r>
          </w:p>
        </w:tc>
        <w:tc>
          <w:tcPr>
            <w:tcW w:w="956" w:type="dxa"/>
          </w:tcPr>
          <w:p w:rsidR="00BC56A2" w:rsidRPr="00CF6B6A" w:rsidP="00837D3D" w14:paraId="4516969C" w14:textId="77777777">
            <w:r w:rsidRPr="00CF6B6A">
              <w:t>n=230</w:t>
            </w:r>
          </w:p>
          <w:p w:rsidR="00BC56A2" w:rsidRPr="00CF6B6A" w:rsidP="00837D3D" w14:paraId="0E9CB465" w14:textId="77777777">
            <w:r w:rsidRPr="00CF6B6A">
              <w:t>c=0</w:t>
            </w:r>
          </w:p>
        </w:tc>
        <w:tc>
          <w:tcPr>
            <w:tcW w:w="693" w:type="dxa"/>
          </w:tcPr>
          <w:p w:rsidR="00BC56A2" w:rsidRPr="00CF6B6A" w:rsidP="00837D3D" w14:paraId="2CC13260" w14:textId="77777777">
            <w:r w:rsidRPr="00CF6B6A">
              <w:t>1%</w:t>
            </w:r>
          </w:p>
        </w:tc>
        <w:tc>
          <w:tcPr>
            <w:tcW w:w="961" w:type="dxa"/>
          </w:tcPr>
          <w:p w:rsidR="00BC56A2" w:rsidRPr="00CF6B6A" w:rsidP="00837D3D" w14:paraId="0AB662BF" w14:textId="77777777">
            <w:r w:rsidRPr="00CF6B6A">
              <w:t>0.022%</w:t>
            </w:r>
          </w:p>
        </w:tc>
        <w:tc>
          <w:tcPr>
            <w:tcW w:w="1440" w:type="dxa"/>
            <w:tcBorders>
              <w:top w:val="single" w:sz="6" w:space="0" w:color="auto"/>
            </w:tcBorders>
          </w:tcPr>
          <w:p w:rsidR="00BC56A2" w:rsidRPr="00CF6B6A" w:rsidP="00837D3D" w14:paraId="11F6F302" w14:textId="77777777">
            <w:r w:rsidRPr="00CF6B6A">
              <w:t>95%</w:t>
            </w:r>
          </w:p>
        </w:tc>
        <w:tc>
          <w:tcPr>
            <w:tcW w:w="900" w:type="dxa"/>
            <w:tcBorders>
              <w:top w:val="single" w:sz="6" w:space="0" w:color="auto"/>
            </w:tcBorders>
            <w:vAlign w:val="center"/>
          </w:tcPr>
          <w:p w:rsidR="00BC56A2" w:rsidRPr="00CF6B6A" w:rsidP="00837D3D" w14:paraId="49D5615A" w14:textId="77777777">
            <w:r w:rsidRPr="00CF6B6A">
              <w:t>n=45</w:t>
            </w:r>
          </w:p>
          <w:p w:rsidR="00BC56A2" w:rsidRPr="00CF6B6A" w:rsidP="00837D3D" w14:paraId="1A049A6E" w14:textId="77777777">
            <w:r w:rsidRPr="00CF6B6A">
              <w:t>c=0</w:t>
            </w:r>
          </w:p>
        </w:tc>
        <w:tc>
          <w:tcPr>
            <w:tcW w:w="810" w:type="dxa"/>
            <w:tcBorders>
              <w:top w:val="single" w:sz="6" w:space="0" w:color="auto"/>
            </w:tcBorders>
          </w:tcPr>
          <w:p w:rsidR="00BC56A2" w:rsidRPr="00CF6B6A" w:rsidP="00837D3D" w14:paraId="3DA5348B" w14:textId="77777777">
            <w:r w:rsidRPr="00CF6B6A">
              <w:t>5%</w:t>
            </w:r>
          </w:p>
        </w:tc>
        <w:tc>
          <w:tcPr>
            <w:tcW w:w="990" w:type="dxa"/>
            <w:tcBorders>
              <w:top w:val="single" w:sz="6" w:space="0" w:color="auto"/>
            </w:tcBorders>
          </w:tcPr>
          <w:p w:rsidR="00BC56A2" w:rsidRPr="00CF6B6A" w:rsidP="00837D3D" w14:paraId="05DD9663" w14:textId="77777777">
            <w:r w:rsidRPr="00CF6B6A">
              <w:t>0.11%</w:t>
            </w:r>
          </w:p>
        </w:tc>
      </w:tr>
      <w:tr w14:paraId="70518695" w14:textId="77777777" w:rsidTr="00151E02">
        <w:tblPrEx>
          <w:tblW w:w="10232" w:type="dxa"/>
          <w:tblInd w:w="-432" w:type="dxa"/>
          <w:tblLayout w:type="fixed"/>
          <w:tblLook w:val="04A0"/>
        </w:tblPrEx>
        <w:tc>
          <w:tcPr>
            <w:tcW w:w="2132" w:type="dxa"/>
          </w:tcPr>
          <w:p w:rsidR="00BC56A2" w:rsidRPr="00CF6B6A" w:rsidP="00837D3D" w14:paraId="24DA467F" w14:textId="77777777">
            <w:pPr>
              <w:rPr>
                <w:vertAlign w:val="superscript"/>
              </w:rPr>
            </w:pPr>
            <w:r w:rsidRPr="00CF6B6A">
              <w:t>CTS-S3</w:t>
            </w:r>
            <w:r w:rsidRPr="00CF6B6A">
              <w:rPr>
                <w:vertAlign w:val="superscript"/>
              </w:rPr>
              <w:t>[1]</w:t>
            </w:r>
          </w:p>
        </w:tc>
        <w:tc>
          <w:tcPr>
            <w:tcW w:w="1350" w:type="dxa"/>
          </w:tcPr>
          <w:p w:rsidR="00BC56A2" w:rsidRPr="00CF6B6A" w:rsidP="00837D3D" w14:paraId="64CF323A" w14:textId="77777777">
            <w:r w:rsidRPr="00CF6B6A">
              <w:t>97%</w:t>
            </w:r>
          </w:p>
        </w:tc>
        <w:tc>
          <w:tcPr>
            <w:tcW w:w="956" w:type="dxa"/>
          </w:tcPr>
          <w:p w:rsidR="00BC56A2" w:rsidRPr="00CF6B6A" w:rsidP="00837D3D" w14:paraId="7BC6CED5" w14:textId="77777777">
            <w:r w:rsidRPr="00CF6B6A">
              <w:t>n=76</w:t>
            </w:r>
          </w:p>
          <w:p w:rsidR="00BC56A2" w:rsidRPr="00CF6B6A" w:rsidP="00837D3D" w14:paraId="14F9B393" w14:textId="77777777">
            <w:r w:rsidRPr="00CF6B6A">
              <w:t>c=0</w:t>
            </w:r>
          </w:p>
        </w:tc>
        <w:tc>
          <w:tcPr>
            <w:tcW w:w="693" w:type="dxa"/>
          </w:tcPr>
          <w:p w:rsidR="00BC56A2" w:rsidRPr="00CF6B6A" w:rsidP="00837D3D" w14:paraId="4A6ABAFC" w14:textId="77777777">
            <w:r w:rsidRPr="00CF6B6A">
              <w:t>3%</w:t>
            </w:r>
          </w:p>
        </w:tc>
        <w:tc>
          <w:tcPr>
            <w:tcW w:w="961" w:type="dxa"/>
          </w:tcPr>
          <w:p w:rsidR="00BC56A2" w:rsidRPr="00CF6B6A" w:rsidP="00837D3D" w14:paraId="7B94324E" w14:textId="77777777">
            <w:r w:rsidRPr="00CF6B6A">
              <w:t>0.067%</w:t>
            </w:r>
          </w:p>
        </w:tc>
        <w:tc>
          <w:tcPr>
            <w:tcW w:w="1440" w:type="dxa"/>
          </w:tcPr>
          <w:p w:rsidR="00BC56A2" w:rsidRPr="00CF6B6A" w:rsidP="00837D3D" w14:paraId="7F5AD597" w14:textId="77777777">
            <w:r w:rsidRPr="00CF6B6A">
              <w:t>93.5%</w:t>
            </w:r>
          </w:p>
        </w:tc>
        <w:tc>
          <w:tcPr>
            <w:tcW w:w="900" w:type="dxa"/>
          </w:tcPr>
          <w:p w:rsidR="00BC56A2" w:rsidRPr="00CF6B6A" w:rsidP="00837D3D" w14:paraId="5AC0FA6A" w14:textId="77777777">
            <w:r w:rsidRPr="00CF6B6A">
              <w:t>n=35</w:t>
            </w:r>
          </w:p>
          <w:p w:rsidR="00BC56A2" w:rsidRPr="00CF6B6A" w:rsidP="00837D3D" w14:paraId="38539863" w14:textId="77777777">
            <w:r w:rsidRPr="00CF6B6A">
              <w:t>c=0</w:t>
            </w:r>
          </w:p>
        </w:tc>
        <w:tc>
          <w:tcPr>
            <w:tcW w:w="810" w:type="dxa"/>
          </w:tcPr>
          <w:p w:rsidR="00BC56A2" w:rsidRPr="00CF6B6A" w:rsidP="00837D3D" w14:paraId="7A09ECAC" w14:textId="77777777">
            <w:r w:rsidRPr="00CF6B6A">
              <w:t>6.5%</w:t>
            </w:r>
          </w:p>
        </w:tc>
        <w:tc>
          <w:tcPr>
            <w:tcW w:w="990" w:type="dxa"/>
          </w:tcPr>
          <w:p w:rsidR="00BC56A2" w:rsidRPr="00CF6B6A" w:rsidP="00837D3D" w14:paraId="69C97319" w14:textId="77777777">
            <w:r w:rsidRPr="00CF6B6A">
              <w:t>0.14%</w:t>
            </w:r>
          </w:p>
        </w:tc>
      </w:tr>
      <w:tr w14:paraId="18541BEC" w14:textId="77777777" w:rsidTr="00151E02">
        <w:tblPrEx>
          <w:tblW w:w="10232" w:type="dxa"/>
          <w:tblInd w:w="-432" w:type="dxa"/>
          <w:tblLayout w:type="fixed"/>
          <w:tblLook w:val="04A0"/>
        </w:tblPrEx>
        <w:tc>
          <w:tcPr>
            <w:tcW w:w="2132" w:type="dxa"/>
            <w:vAlign w:val="center"/>
          </w:tcPr>
          <w:p w:rsidR="00BC56A2" w:rsidRPr="00CF6B6A" w:rsidP="00837D3D" w14:paraId="02A4EFAE" w14:textId="77777777">
            <w:pPr>
              <w:rPr>
                <w:vertAlign w:val="superscript"/>
              </w:rPr>
            </w:pPr>
            <w:r w:rsidRPr="00CF6B6A">
              <w:t>CTS-S2</w:t>
            </w:r>
            <w:r w:rsidRPr="00CF6B6A">
              <w:rPr>
                <w:vertAlign w:val="superscript"/>
              </w:rPr>
              <w:t>[1]</w:t>
            </w:r>
          </w:p>
          <w:p w:rsidR="00BC56A2" w:rsidP="00837D3D" w14:paraId="5988DFC3" w14:textId="77777777">
            <w:pPr>
              <w:rPr>
                <w:vertAlign w:val="superscript"/>
              </w:rPr>
            </w:pPr>
            <w:r w:rsidRPr="00CF6B6A">
              <w:t>CTQ-SEV8</w:t>
            </w:r>
            <w:r w:rsidRPr="00CF6B6A">
              <w:rPr>
                <w:vertAlign w:val="superscript"/>
              </w:rPr>
              <w:t>[2]</w:t>
            </w:r>
          </w:p>
          <w:p w:rsidR="008D2154" w:rsidRPr="008D2154" w:rsidP="00837D3D" w14:paraId="0C8B88E8" w14:textId="437E46C5">
            <w:r>
              <w:t>CTQ-S</w:t>
            </w:r>
          </w:p>
        </w:tc>
        <w:tc>
          <w:tcPr>
            <w:tcW w:w="1350" w:type="dxa"/>
            <w:vAlign w:val="center"/>
          </w:tcPr>
          <w:p w:rsidR="00BC56A2" w:rsidRPr="00CF6B6A" w:rsidP="00837D3D" w14:paraId="600FE394" w14:textId="77777777">
            <w:r w:rsidRPr="00CF6B6A">
              <w:t>95%</w:t>
            </w:r>
          </w:p>
        </w:tc>
        <w:tc>
          <w:tcPr>
            <w:tcW w:w="956" w:type="dxa"/>
            <w:vAlign w:val="center"/>
          </w:tcPr>
          <w:p w:rsidR="00BC56A2" w:rsidRPr="00CF6B6A" w:rsidP="00837D3D" w14:paraId="5C9A978C" w14:textId="77777777">
            <w:r w:rsidRPr="00CF6B6A">
              <w:t>n=45</w:t>
            </w:r>
          </w:p>
          <w:p w:rsidR="00BC56A2" w:rsidRPr="00CF6B6A" w:rsidP="00837D3D" w14:paraId="31B4AAE7" w14:textId="77777777">
            <w:r w:rsidRPr="00CF6B6A">
              <w:t>c=0</w:t>
            </w:r>
          </w:p>
        </w:tc>
        <w:tc>
          <w:tcPr>
            <w:tcW w:w="693" w:type="dxa"/>
            <w:vAlign w:val="center"/>
          </w:tcPr>
          <w:p w:rsidR="00BC56A2" w:rsidRPr="00CF6B6A" w:rsidP="00837D3D" w14:paraId="7B0D3FF9" w14:textId="77777777">
            <w:r w:rsidRPr="00CF6B6A">
              <w:t>5%</w:t>
            </w:r>
          </w:p>
        </w:tc>
        <w:tc>
          <w:tcPr>
            <w:tcW w:w="961" w:type="dxa"/>
            <w:vAlign w:val="center"/>
          </w:tcPr>
          <w:p w:rsidR="00BC56A2" w:rsidRPr="00CF6B6A" w:rsidP="00837D3D" w14:paraId="465C2E6A" w14:textId="77777777">
            <w:r w:rsidRPr="00CF6B6A">
              <w:t>0.11%</w:t>
            </w:r>
          </w:p>
        </w:tc>
        <w:tc>
          <w:tcPr>
            <w:tcW w:w="1440" w:type="dxa"/>
            <w:vAlign w:val="center"/>
          </w:tcPr>
          <w:p w:rsidR="00BC56A2" w:rsidRPr="00CF6B6A" w:rsidP="00837D3D" w14:paraId="596D7531" w14:textId="77777777">
            <w:r w:rsidRPr="00CF6B6A">
              <w:t>90%</w:t>
            </w:r>
          </w:p>
        </w:tc>
        <w:tc>
          <w:tcPr>
            <w:tcW w:w="900" w:type="dxa"/>
            <w:vAlign w:val="center"/>
          </w:tcPr>
          <w:p w:rsidR="00BC56A2" w:rsidRPr="00CF6B6A" w:rsidP="00837D3D" w14:paraId="5735CD17" w14:textId="77777777">
            <w:r w:rsidRPr="00CF6B6A">
              <w:t>n=22</w:t>
            </w:r>
          </w:p>
          <w:p w:rsidR="00BC56A2" w:rsidRPr="00CF6B6A" w:rsidP="00837D3D" w14:paraId="4609C199" w14:textId="77777777">
            <w:r w:rsidRPr="00CF6B6A">
              <w:t>c=0</w:t>
            </w:r>
          </w:p>
        </w:tc>
        <w:tc>
          <w:tcPr>
            <w:tcW w:w="810" w:type="dxa"/>
            <w:vAlign w:val="center"/>
          </w:tcPr>
          <w:p w:rsidR="00BC56A2" w:rsidRPr="00CF6B6A" w:rsidP="00837D3D" w14:paraId="7F54E70A" w14:textId="77777777">
            <w:r w:rsidRPr="00CF6B6A">
              <w:t>10%</w:t>
            </w:r>
          </w:p>
        </w:tc>
        <w:tc>
          <w:tcPr>
            <w:tcW w:w="990" w:type="dxa"/>
            <w:vAlign w:val="center"/>
          </w:tcPr>
          <w:p w:rsidR="00BC56A2" w:rsidRPr="00CF6B6A" w:rsidP="00837D3D" w14:paraId="77307060" w14:textId="77777777">
            <w:r w:rsidRPr="00CF6B6A">
              <w:t>0.23%</w:t>
            </w:r>
          </w:p>
        </w:tc>
      </w:tr>
      <w:tr w14:paraId="786D5910" w14:textId="77777777" w:rsidTr="00151E02">
        <w:tblPrEx>
          <w:tblW w:w="10232" w:type="dxa"/>
          <w:tblInd w:w="-432" w:type="dxa"/>
          <w:tblLayout w:type="fixed"/>
          <w:tblLook w:val="04A0"/>
        </w:tblPrEx>
        <w:tc>
          <w:tcPr>
            <w:tcW w:w="2132" w:type="dxa"/>
            <w:vAlign w:val="center"/>
          </w:tcPr>
          <w:p w:rsidR="00BC56A2" w:rsidRPr="00CF6B6A" w:rsidP="00837D3D" w14:paraId="6DBFE8C0" w14:textId="77777777">
            <w:pPr>
              <w:rPr>
                <w:vertAlign w:val="superscript"/>
              </w:rPr>
            </w:pPr>
            <w:r w:rsidRPr="00CF6B6A">
              <w:t>CTQ-SEV5</w:t>
            </w:r>
            <w:r w:rsidRPr="00CF6B6A">
              <w:rPr>
                <w:vertAlign w:val="superscript"/>
              </w:rPr>
              <w:t>[2]</w:t>
            </w:r>
          </w:p>
        </w:tc>
        <w:tc>
          <w:tcPr>
            <w:tcW w:w="1350" w:type="dxa"/>
            <w:vAlign w:val="center"/>
          </w:tcPr>
          <w:p w:rsidR="00BC56A2" w:rsidRPr="00CF6B6A" w:rsidP="00837D3D" w14:paraId="7650FA8B" w14:textId="77777777">
            <w:r w:rsidRPr="00CF6B6A">
              <w:t>93.5%</w:t>
            </w:r>
          </w:p>
        </w:tc>
        <w:tc>
          <w:tcPr>
            <w:tcW w:w="956" w:type="dxa"/>
            <w:vAlign w:val="center"/>
          </w:tcPr>
          <w:p w:rsidR="00BC56A2" w:rsidRPr="00CF6B6A" w:rsidP="00837D3D" w14:paraId="1BA89CCF" w14:textId="77777777">
            <w:r w:rsidRPr="00CF6B6A">
              <w:t>n=35</w:t>
            </w:r>
          </w:p>
          <w:p w:rsidR="00BC56A2" w:rsidRPr="00CF6B6A" w:rsidP="00837D3D" w14:paraId="2E9483D9" w14:textId="77777777">
            <w:r w:rsidRPr="00CF6B6A">
              <w:t>c=0</w:t>
            </w:r>
          </w:p>
        </w:tc>
        <w:tc>
          <w:tcPr>
            <w:tcW w:w="693" w:type="dxa"/>
            <w:vAlign w:val="center"/>
          </w:tcPr>
          <w:p w:rsidR="00BC56A2" w:rsidRPr="00CF6B6A" w:rsidP="00837D3D" w14:paraId="1292DCB9" w14:textId="77777777">
            <w:r w:rsidRPr="00CF6B6A">
              <w:t>6.5%</w:t>
            </w:r>
          </w:p>
        </w:tc>
        <w:tc>
          <w:tcPr>
            <w:tcW w:w="961" w:type="dxa"/>
            <w:vAlign w:val="center"/>
          </w:tcPr>
          <w:p w:rsidR="00BC56A2" w:rsidRPr="00CF6B6A" w:rsidP="00837D3D" w14:paraId="272A6439" w14:textId="77777777">
            <w:r w:rsidRPr="00CF6B6A">
              <w:t>0.14%</w:t>
            </w:r>
          </w:p>
        </w:tc>
        <w:tc>
          <w:tcPr>
            <w:tcW w:w="1440" w:type="dxa"/>
            <w:vAlign w:val="center"/>
          </w:tcPr>
          <w:p w:rsidR="00BC56A2" w:rsidRPr="00CF6B6A" w:rsidP="00837D3D" w14:paraId="2053AF55" w14:textId="77777777">
            <w:r w:rsidRPr="00CF6B6A">
              <w:t>85%</w:t>
            </w:r>
          </w:p>
        </w:tc>
        <w:tc>
          <w:tcPr>
            <w:tcW w:w="900" w:type="dxa"/>
            <w:vAlign w:val="center"/>
          </w:tcPr>
          <w:p w:rsidR="00BC56A2" w:rsidRPr="00CF6B6A" w:rsidP="00837D3D" w14:paraId="457A1470" w14:textId="77777777">
            <w:r w:rsidRPr="00CF6B6A">
              <w:t>n=15</w:t>
            </w:r>
          </w:p>
          <w:p w:rsidR="00BC56A2" w:rsidRPr="00CF6B6A" w:rsidP="00837D3D" w14:paraId="776EEE3E" w14:textId="77777777">
            <w:r w:rsidRPr="00CF6B6A">
              <w:t>c=0</w:t>
            </w:r>
          </w:p>
        </w:tc>
        <w:tc>
          <w:tcPr>
            <w:tcW w:w="810" w:type="dxa"/>
            <w:vAlign w:val="center"/>
          </w:tcPr>
          <w:p w:rsidR="00BC56A2" w:rsidRPr="00CF6B6A" w:rsidP="00837D3D" w14:paraId="75B6AD64" w14:textId="77777777">
            <w:r w:rsidRPr="00CF6B6A">
              <w:t>15%</w:t>
            </w:r>
          </w:p>
        </w:tc>
        <w:tc>
          <w:tcPr>
            <w:tcW w:w="990" w:type="dxa"/>
            <w:vAlign w:val="center"/>
          </w:tcPr>
          <w:p w:rsidR="00BC56A2" w:rsidRPr="00CF6B6A" w:rsidP="00837D3D" w14:paraId="7C26D2AE" w14:textId="77777777">
            <w:r w:rsidRPr="00CF6B6A">
              <w:t>0.34%</w:t>
            </w:r>
          </w:p>
        </w:tc>
      </w:tr>
      <w:tr w14:paraId="4CA6AA98" w14:textId="77777777" w:rsidTr="00151E02">
        <w:tblPrEx>
          <w:tblW w:w="10232" w:type="dxa"/>
          <w:tblInd w:w="-432" w:type="dxa"/>
          <w:tblLayout w:type="fixed"/>
          <w:tblLook w:val="04A0"/>
        </w:tblPrEx>
        <w:tc>
          <w:tcPr>
            <w:tcW w:w="2132" w:type="dxa"/>
            <w:vAlign w:val="center"/>
          </w:tcPr>
          <w:p w:rsidR="00BC56A2" w:rsidRPr="00CF6B6A" w:rsidP="00837D3D" w14:paraId="15FEC4C2" w14:textId="77777777">
            <w:pPr>
              <w:rPr>
                <w:vertAlign w:val="superscript"/>
              </w:rPr>
            </w:pPr>
            <w:r w:rsidRPr="00CF6B6A">
              <w:t>CTQ-SEV3</w:t>
            </w:r>
            <w:r w:rsidRPr="00CF6B6A">
              <w:rPr>
                <w:vertAlign w:val="superscript"/>
              </w:rPr>
              <w:t>[2]</w:t>
            </w:r>
          </w:p>
          <w:p w:rsidR="00BC56A2" w:rsidRPr="00CF6B6A" w:rsidP="00837D3D" w14:paraId="69CF0963" w14:textId="77777777">
            <w:pPr>
              <w:rPr>
                <w:vertAlign w:val="superscript"/>
              </w:rPr>
            </w:pPr>
            <w:r w:rsidRPr="00CF6B6A">
              <w:t>CTQ-SEV1</w:t>
            </w:r>
            <w:r w:rsidRPr="00CF6B6A">
              <w:rPr>
                <w:vertAlign w:val="superscript"/>
              </w:rPr>
              <w:t>[2]</w:t>
            </w:r>
          </w:p>
          <w:p w:rsidR="00BC56A2" w:rsidRPr="00CF6B6A" w:rsidP="00837D3D" w14:paraId="46A7FCAC" w14:textId="77777777">
            <w:r w:rsidRPr="00CF6B6A">
              <w:t>Key Process Indicator</w:t>
            </w:r>
          </w:p>
        </w:tc>
        <w:tc>
          <w:tcPr>
            <w:tcW w:w="1350" w:type="dxa"/>
            <w:vAlign w:val="center"/>
          </w:tcPr>
          <w:p w:rsidR="00BC56A2" w:rsidRPr="00CF6B6A" w:rsidP="00837D3D" w14:paraId="359526EE" w14:textId="77777777">
            <w:r w:rsidRPr="00CF6B6A">
              <w:t>90%</w:t>
            </w:r>
          </w:p>
        </w:tc>
        <w:tc>
          <w:tcPr>
            <w:tcW w:w="956" w:type="dxa"/>
            <w:vAlign w:val="center"/>
          </w:tcPr>
          <w:p w:rsidR="00BC56A2" w:rsidRPr="00CF6B6A" w:rsidP="00837D3D" w14:paraId="36034723" w14:textId="77777777">
            <w:r w:rsidRPr="00CF6B6A">
              <w:t>n=22</w:t>
            </w:r>
          </w:p>
          <w:p w:rsidR="00BC56A2" w:rsidRPr="00CF6B6A" w:rsidP="00837D3D" w14:paraId="36CCD8EA" w14:textId="77777777">
            <w:r w:rsidRPr="00CF6B6A">
              <w:t>c=0</w:t>
            </w:r>
          </w:p>
        </w:tc>
        <w:tc>
          <w:tcPr>
            <w:tcW w:w="693" w:type="dxa"/>
            <w:vAlign w:val="center"/>
          </w:tcPr>
          <w:p w:rsidR="00BC56A2" w:rsidRPr="00CF6B6A" w:rsidP="00837D3D" w14:paraId="6BAA629F" w14:textId="77777777">
            <w:r w:rsidRPr="00CF6B6A">
              <w:t>10%</w:t>
            </w:r>
          </w:p>
        </w:tc>
        <w:tc>
          <w:tcPr>
            <w:tcW w:w="961" w:type="dxa"/>
            <w:vAlign w:val="center"/>
          </w:tcPr>
          <w:p w:rsidR="00BC56A2" w:rsidRPr="00CF6B6A" w:rsidP="00837D3D" w14:paraId="029650E5" w14:textId="77777777">
            <w:r w:rsidRPr="00CF6B6A">
              <w:t>0.23%</w:t>
            </w:r>
          </w:p>
        </w:tc>
        <w:tc>
          <w:tcPr>
            <w:tcW w:w="1440" w:type="dxa"/>
            <w:vAlign w:val="center"/>
          </w:tcPr>
          <w:p w:rsidR="00BC56A2" w:rsidRPr="00CF6B6A" w:rsidP="00837D3D" w14:paraId="5BAA20A8" w14:textId="77777777">
            <w:r w:rsidRPr="00CF6B6A">
              <w:t>80%</w:t>
            </w:r>
          </w:p>
        </w:tc>
        <w:tc>
          <w:tcPr>
            <w:tcW w:w="900" w:type="dxa"/>
            <w:vAlign w:val="center"/>
          </w:tcPr>
          <w:p w:rsidR="00BC56A2" w:rsidRPr="00CF6B6A" w:rsidP="00837D3D" w14:paraId="28B3A11B" w14:textId="77777777">
            <w:r w:rsidRPr="00CF6B6A">
              <w:t>n=11</w:t>
            </w:r>
          </w:p>
          <w:p w:rsidR="00BC56A2" w:rsidRPr="00CF6B6A" w:rsidP="00837D3D" w14:paraId="0E384BA6" w14:textId="77777777">
            <w:r w:rsidRPr="00CF6B6A">
              <w:t>c=0</w:t>
            </w:r>
          </w:p>
        </w:tc>
        <w:tc>
          <w:tcPr>
            <w:tcW w:w="810" w:type="dxa"/>
            <w:vAlign w:val="center"/>
          </w:tcPr>
          <w:p w:rsidR="00BC56A2" w:rsidRPr="00CF6B6A" w:rsidP="00837D3D" w14:paraId="20BAD3AF" w14:textId="77777777">
            <w:r w:rsidRPr="00CF6B6A">
              <w:t>20%</w:t>
            </w:r>
          </w:p>
        </w:tc>
        <w:tc>
          <w:tcPr>
            <w:tcW w:w="990" w:type="dxa"/>
            <w:vAlign w:val="center"/>
          </w:tcPr>
          <w:p w:rsidR="00BC56A2" w:rsidRPr="00CF6B6A" w:rsidP="00837D3D" w14:paraId="3A5792C7" w14:textId="77777777">
            <w:r w:rsidRPr="00CF6B6A">
              <w:t>0.46%</w:t>
            </w:r>
          </w:p>
        </w:tc>
      </w:tr>
      <w:tr w14:paraId="3B2AB495" w14:textId="77777777" w:rsidTr="00151E02">
        <w:tblPrEx>
          <w:tblW w:w="10232" w:type="dxa"/>
          <w:tblInd w:w="-432" w:type="dxa"/>
          <w:tblLayout w:type="fixed"/>
          <w:tblLook w:val="04A0"/>
        </w:tblPrEx>
        <w:tc>
          <w:tcPr>
            <w:tcW w:w="2132" w:type="dxa"/>
            <w:vAlign w:val="center"/>
          </w:tcPr>
          <w:p w:rsidR="00BC56A2" w:rsidRPr="005C65AE" w:rsidP="00837D3D" w14:paraId="30EB5BF1" w14:textId="77777777">
            <w:r w:rsidRPr="005C65AE">
              <w:t>Non-CTS-S</w:t>
            </w:r>
            <w:r>
              <w:t>2</w:t>
            </w:r>
          </w:p>
          <w:p w:rsidR="00BC56A2" w:rsidP="00837D3D" w14:paraId="5032F468" w14:textId="77777777">
            <w:r w:rsidRPr="00CF6B6A">
              <w:t>Non-CTS-S</w:t>
            </w:r>
            <w:r>
              <w:t>1</w:t>
            </w:r>
          </w:p>
          <w:p w:rsidR="00BC56A2" w:rsidRPr="00A23A99" w:rsidP="00837D3D" w14:paraId="4DD71B0A" w14:textId="77777777">
            <w:pPr>
              <w:rPr>
                <w:sz w:val="20"/>
                <w:szCs w:val="18"/>
                <w:lang w:val="fr-FR"/>
              </w:rPr>
            </w:pPr>
            <w:r w:rsidRPr="00A23A99">
              <w:rPr>
                <w:sz w:val="20"/>
                <w:szCs w:val="18"/>
                <w:lang w:val="fr-FR"/>
              </w:rPr>
              <w:t>Non-CTS-S0</w:t>
            </w:r>
          </w:p>
          <w:p w:rsidR="00BC56A2" w:rsidRPr="00CF6B6A" w:rsidP="00837D3D" w14:paraId="50351FA1" w14:textId="77777777">
            <w:pPr>
              <w:rPr>
                <w:lang w:val="fr-FR"/>
              </w:rPr>
            </w:pPr>
            <w:r w:rsidRPr="00CF6B6A">
              <w:rPr>
                <w:lang w:val="fr-FR"/>
              </w:rPr>
              <w:t>Non-CTQ SEV8</w:t>
            </w:r>
          </w:p>
          <w:p w:rsidR="00BC56A2" w:rsidRPr="00CF6B6A" w:rsidP="00837D3D" w14:paraId="210B4AE4" w14:textId="77777777">
            <w:pPr>
              <w:rPr>
                <w:lang w:val="fr-FR"/>
              </w:rPr>
            </w:pPr>
            <w:r w:rsidRPr="00CF6B6A">
              <w:rPr>
                <w:lang w:val="fr-FR"/>
              </w:rPr>
              <w:t>Non-CTQ SEV5</w:t>
            </w:r>
          </w:p>
          <w:p w:rsidR="00BC56A2" w:rsidRPr="00CF6B6A" w:rsidP="00837D3D" w14:paraId="4944D9C7" w14:textId="77777777">
            <w:pPr>
              <w:rPr>
                <w:lang w:val="fr-FR"/>
              </w:rPr>
            </w:pPr>
            <w:r w:rsidRPr="00CF6B6A">
              <w:rPr>
                <w:lang w:val="fr-FR"/>
              </w:rPr>
              <w:t>Non-CTQ SEV3</w:t>
            </w:r>
          </w:p>
          <w:p w:rsidR="00BC56A2" w:rsidRPr="005C65AE" w:rsidP="00837D3D" w14:paraId="71639609" w14:textId="77777777">
            <w:pPr>
              <w:rPr>
                <w:lang w:val="fr-FR"/>
              </w:rPr>
            </w:pPr>
            <w:r w:rsidRPr="005C65AE">
              <w:rPr>
                <w:lang w:val="fr-FR"/>
              </w:rPr>
              <w:t>Non-CTQ SEV1</w:t>
            </w:r>
          </w:p>
        </w:tc>
        <w:tc>
          <w:tcPr>
            <w:tcW w:w="3960" w:type="dxa"/>
            <w:gridSpan w:val="4"/>
            <w:vAlign w:val="center"/>
          </w:tcPr>
          <w:p w:rsidR="00BC56A2" w:rsidRPr="00CF6B6A" w:rsidP="00837D3D" w14:paraId="147FC2F2" w14:textId="77777777">
            <w:r w:rsidRPr="00CF6B6A">
              <w:t>No Sampling Plan</w:t>
            </w:r>
          </w:p>
          <w:p w:rsidR="00BC56A2" w:rsidRPr="00CF6B6A" w:rsidP="00837D3D" w14:paraId="04667225" w14:textId="77777777">
            <w:r w:rsidRPr="00CF6B6A">
              <w:t>n=1 per PQ run</w:t>
            </w:r>
          </w:p>
        </w:tc>
        <w:tc>
          <w:tcPr>
            <w:tcW w:w="4140" w:type="dxa"/>
            <w:gridSpan w:val="4"/>
            <w:vAlign w:val="center"/>
          </w:tcPr>
          <w:p w:rsidR="00BC56A2" w:rsidRPr="00CF6B6A" w:rsidP="00837D3D" w14:paraId="693599B4" w14:textId="77777777">
            <w:r w:rsidRPr="00CF6B6A">
              <w:t>No Sampling Plan</w:t>
            </w:r>
          </w:p>
          <w:p w:rsidR="00BC56A2" w:rsidRPr="00CF6B6A" w:rsidP="00837D3D" w14:paraId="48568B4C" w14:textId="77777777">
            <w:r w:rsidRPr="00CF6B6A">
              <w:t xml:space="preserve">n=1 per </w:t>
            </w:r>
            <w:r>
              <w:t>O</w:t>
            </w:r>
            <w:r w:rsidRPr="00CF6B6A">
              <w:t>Q run</w:t>
            </w:r>
          </w:p>
        </w:tc>
      </w:tr>
      <w:tr w14:paraId="42FD42DC" w14:textId="77777777">
        <w:tblPrEx>
          <w:tblW w:w="10232" w:type="dxa"/>
          <w:tblInd w:w="-432" w:type="dxa"/>
          <w:tblLayout w:type="fixed"/>
          <w:tblLook w:val="04A0"/>
        </w:tblPrEx>
        <w:tc>
          <w:tcPr>
            <w:tcW w:w="10232" w:type="dxa"/>
            <w:gridSpan w:val="9"/>
            <w:vAlign w:val="center"/>
          </w:tcPr>
          <w:p w:rsidR="00BC56A2" w:rsidRPr="0097264D" w:rsidP="005C08EE" w14:paraId="705E8707" w14:textId="58345C42">
            <w:pPr>
              <w:pStyle w:val="Doc-Text3"/>
              <w:spacing w:after="80"/>
              <w:rPr>
                <w:sz w:val="20"/>
              </w:rPr>
            </w:pPr>
            <w:r w:rsidRPr="0097264D">
              <w:rPr>
                <w:sz w:val="20"/>
              </w:rPr>
              <w:t xml:space="preserve">Note [1]: When a critical quality attribute (CQA) is </w:t>
            </w:r>
            <w:r>
              <w:rPr>
                <w:sz w:val="20"/>
              </w:rPr>
              <w:t>classified</w:t>
            </w:r>
            <w:r w:rsidRPr="0097264D">
              <w:rPr>
                <w:sz w:val="20"/>
              </w:rPr>
              <w:t xml:space="preserve"> as a CTS (e.g., on a drawing) and there is no severity of harm (SOH) </w:t>
            </w:r>
            <w:r w:rsidR="00151E02">
              <w:rPr>
                <w:sz w:val="20"/>
              </w:rPr>
              <w:t>information available in a Philips FMEA document</w:t>
            </w:r>
            <w:r w:rsidRPr="0097264D">
              <w:rPr>
                <w:sz w:val="20"/>
              </w:rPr>
              <w:t xml:space="preserve">, the sampling plan for CTS-S4 shall be used. </w:t>
            </w:r>
          </w:p>
          <w:p w:rsidR="00BC56A2" w:rsidRPr="0097264D" w:rsidP="005C08EE" w14:paraId="756EFBA5" w14:textId="6195F0CD">
            <w:pPr>
              <w:pStyle w:val="Doc-Text3"/>
              <w:spacing w:after="80"/>
              <w:rPr>
                <w:sz w:val="20"/>
              </w:rPr>
            </w:pPr>
            <w:r w:rsidRPr="0097264D">
              <w:rPr>
                <w:sz w:val="20"/>
              </w:rPr>
              <w:t xml:space="preserve">Note [2]: When a critical quality attribute (CQA) is </w:t>
            </w:r>
            <w:r>
              <w:rPr>
                <w:sz w:val="20"/>
              </w:rPr>
              <w:t>classified</w:t>
            </w:r>
            <w:r w:rsidRPr="0097264D">
              <w:rPr>
                <w:sz w:val="20"/>
              </w:rPr>
              <w:t xml:space="preserve"> as a CTQ (e.g., on a drawing) and there is no severity of effect </w:t>
            </w:r>
            <w:r>
              <w:rPr>
                <w:sz w:val="20"/>
              </w:rPr>
              <w:t xml:space="preserve">(SOE) </w:t>
            </w:r>
            <w:r w:rsidR="00151E02">
              <w:rPr>
                <w:sz w:val="20"/>
              </w:rPr>
              <w:t>information available in a Philips FMEA document</w:t>
            </w:r>
            <w:r w:rsidRPr="0097264D">
              <w:rPr>
                <w:sz w:val="20"/>
              </w:rPr>
              <w:t xml:space="preserve">, the sampling plan for CTQ-SEV8 </w:t>
            </w:r>
            <w:r>
              <w:rPr>
                <w:sz w:val="20"/>
              </w:rPr>
              <w:t xml:space="preserve">shall be </w:t>
            </w:r>
            <w:r w:rsidRPr="0097264D">
              <w:rPr>
                <w:sz w:val="20"/>
              </w:rPr>
              <w:t>used.</w:t>
            </w:r>
          </w:p>
          <w:p w:rsidR="00BC56A2" w:rsidRPr="0097264D" w:rsidP="005C08EE" w14:paraId="3DB8DC8E" w14:textId="77777777">
            <w:pPr>
              <w:pStyle w:val="Doc-Text3"/>
              <w:spacing w:after="80"/>
              <w:rPr>
                <w:sz w:val="20"/>
              </w:rPr>
            </w:pPr>
            <w:r w:rsidRPr="0097264D">
              <w:rPr>
                <w:sz w:val="20"/>
              </w:rPr>
              <w:t>Note [3]: The reliability is the percent</w:t>
            </w:r>
            <w:r>
              <w:rPr>
                <w:sz w:val="20"/>
              </w:rPr>
              <w:t>age</w:t>
            </w:r>
            <w:r w:rsidRPr="0097264D">
              <w:rPr>
                <w:sz w:val="20"/>
              </w:rPr>
              <w:t xml:space="preserve"> or proportion conforming. The reliability level is risk-based.</w:t>
            </w:r>
          </w:p>
          <w:p w:rsidR="00BC56A2" w:rsidRPr="0097264D" w:rsidP="005C08EE" w14:paraId="77F217E9" w14:textId="77777777">
            <w:pPr>
              <w:pStyle w:val="Doc-Text3"/>
              <w:spacing w:after="80"/>
              <w:rPr>
                <w:sz w:val="20"/>
              </w:rPr>
            </w:pPr>
            <w:r w:rsidRPr="0097264D">
              <w:rPr>
                <w:sz w:val="20"/>
              </w:rPr>
              <w:t>Note [4]: The RQL is the Reject Quality Level. RQL = 100% - % Reliability. The RQL is representative of the percent</w:t>
            </w:r>
            <w:r>
              <w:rPr>
                <w:sz w:val="20"/>
              </w:rPr>
              <w:t>age</w:t>
            </w:r>
            <w:r w:rsidRPr="0097264D">
              <w:rPr>
                <w:sz w:val="20"/>
              </w:rPr>
              <w:t xml:space="preserve"> or proportion nonconforming that the sampling plan rejects on a regular basis. </w:t>
            </w:r>
          </w:p>
          <w:p w:rsidR="00BC56A2" w:rsidRPr="0097264D" w:rsidP="005C08EE" w14:paraId="1D8C4E2B" w14:textId="77777777">
            <w:pPr>
              <w:pStyle w:val="Doc-Text3"/>
              <w:spacing w:after="80"/>
              <w:rPr>
                <w:sz w:val="20"/>
              </w:rPr>
            </w:pPr>
            <w:r w:rsidRPr="0097264D">
              <w:rPr>
                <w:sz w:val="20"/>
              </w:rPr>
              <w:t>Note [5]: The AQL is the Accept Quality Level. The AQL is representative of the percent or proportion nonconforming that the sampling plan accepts on a regular basis.</w:t>
            </w:r>
            <w:r>
              <w:rPr>
                <w:sz w:val="20"/>
              </w:rPr>
              <w:t xml:space="preserve"> Note: It is not a requirement to meet the AQL. The AQL is merely presented for reference. The % in this column indicates the estimated defect rate the process should have for the sampling plan to accept the OQ or PQ run on a routine basis (95% of the time). Defect rates can be estimated based on similar processes with historic data or test results from process characterization, engineering runs, pilot builds, etc. </w:t>
            </w:r>
          </w:p>
          <w:p w:rsidR="00BC56A2" w:rsidRPr="006406CB" w:rsidP="00FB2312" w14:paraId="2A9F794D" w14:textId="77777777">
            <w:pPr>
              <w:pStyle w:val="Doc-Text3"/>
              <w:keepNext/>
              <w:spacing w:after="80"/>
              <w:rPr>
                <w:szCs w:val="22"/>
              </w:rPr>
            </w:pPr>
            <w:r w:rsidRPr="0097264D">
              <w:rPr>
                <w:sz w:val="20"/>
              </w:rPr>
              <w:t xml:space="preserve">Note [6]: n is the number of samples to be tested, and c is the number of failures allowed. </w:t>
            </w:r>
            <w:r w:rsidRPr="008A0036">
              <w:rPr>
                <w:sz w:val="20"/>
              </w:rPr>
              <w:t>If the actual failure rate is greater than c (c=0 for all PQ sampling plans) the PQ study fails</w:t>
            </w:r>
            <w:r>
              <w:rPr>
                <w:sz w:val="20"/>
              </w:rPr>
              <w:t>. For PQ the required sample size may be pooled over all PQ runs but for OQ the sample size is for each worst-case condition or each OQ run.</w:t>
            </w:r>
          </w:p>
        </w:tc>
      </w:tr>
    </w:tbl>
    <w:p w:rsidR="00D171F8" w:rsidP="00FB2312" w14:paraId="2C4CC6CD" w14:textId="39B400AE">
      <w:pPr>
        <w:pStyle w:val="Caption"/>
      </w:pPr>
      <w:r>
        <w:t xml:space="preserve">Table </w:t>
      </w:r>
      <w:r>
        <w:fldChar w:fldCharType="begin"/>
      </w:r>
      <w:r>
        <w:instrText xml:space="preserve"> SEQ Tabel \* ARABIC </w:instrText>
      </w:r>
      <w:r>
        <w:fldChar w:fldCharType="separate"/>
      </w:r>
      <w:r>
        <w:t>12</w:t>
      </w:r>
      <w:r>
        <w:fldChar w:fldCharType="end"/>
      </w:r>
      <w:r>
        <w:t xml:space="preserve">: </w:t>
      </w:r>
      <w:r w:rsidRPr="0052092E">
        <w:t>Risk-based Attribute sampling plans. 90% Confidence, α=5%, ß=10%.</w:t>
      </w:r>
    </w:p>
    <w:p w:rsidR="00151E02" w:rsidP="00151E02" w14:paraId="53CFB9BB" w14:textId="3DD2DEAF">
      <w:r>
        <w:br w:type="page"/>
      </w:r>
    </w:p>
    <w:p w:rsidR="00D171F8" w:rsidP="00EE1EA6" w14:paraId="22A987C1" w14:textId="10F4A145">
      <w:pPr>
        <w:pStyle w:val="Heading2"/>
      </w:pPr>
      <w:bookmarkStart w:id="856" w:name="_Toc188651157"/>
      <w:bookmarkStart w:id="857" w:name="_Toc256000042"/>
      <w:r>
        <w:t>Variable Sampling Plans for PQ</w:t>
      </w:r>
      <w:bookmarkEnd w:id="857"/>
      <w:bookmarkEnd w:id="856"/>
    </w:p>
    <w:p w:rsidR="00D171F8" w:rsidP="008819B6" w14:paraId="5CC9B1C8" w14:textId="77777777">
      <w:r>
        <w:t>Table 13 describes risk-based variable sampling plans that must be used for Performance Qualification (PQ). Three sampling plans for each reliability level are available, each offering the same protection to the customer.</w:t>
      </w:r>
    </w:p>
    <w:p w:rsidR="00D171F8" w:rsidP="00FB2312" w14:paraId="272DADF0" w14:textId="17BD966E"/>
    <w:tbl>
      <w:tblPr>
        <w:tblStyle w:val="TableGrid"/>
        <w:tblW w:w="10142" w:type="dxa"/>
        <w:tblInd w:w="-4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2042"/>
        <w:gridCol w:w="1179"/>
        <w:gridCol w:w="755"/>
        <w:gridCol w:w="999"/>
        <w:gridCol w:w="837"/>
        <w:gridCol w:w="918"/>
        <w:gridCol w:w="3412"/>
      </w:tblGrid>
      <w:tr w14:paraId="7FE33B62" w14:textId="77777777" w:rsidTr="00837D3D">
        <w:tblPrEx>
          <w:tblW w:w="10142" w:type="dxa"/>
          <w:tblInd w:w="-432" w:type="dxa"/>
          <w:tblLayout w:type="fixed"/>
          <w:tblLook w:val="04A0"/>
        </w:tblPrEx>
        <w:tc>
          <w:tcPr>
            <w:tcW w:w="2042" w:type="dxa"/>
            <w:vMerge w:val="restart"/>
            <w:shd w:val="clear" w:color="auto" w:fill="C1E5FF" w:themeFill="accent1" w:themeFillTint="33"/>
            <w:vAlign w:val="center"/>
          </w:tcPr>
          <w:p w:rsidR="00BC56A2" w:rsidRPr="00837D3D" w:rsidP="00837D3D" w14:paraId="35CFF372" w14:textId="77777777">
            <w:pPr>
              <w:jc w:val="center"/>
              <w:rPr>
                <w:b/>
                <w:bCs/>
              </w:rPr>
            </w:pPr>
            <w:bookmarkStart w:id="858" w:name="_Toc188629791"/>
            <w:bookmarkStart w:id="859" w:name="_Toc188629852"/>
            <w:bookmarkStart w:id="860" w:name="_Toc188629913"/>
            <w:bookmarkStart w:id="861" w:name="_Toc188629974"/>
            <w:bookmarkStart w:id="862" w:name="_Toc188630035"/>
            <w:bookmarkStart w:id="863" w:name="_Toc188630116"/>
            <w:bookmarkStart w:id="864" w:name="_Toc188630220"/>
            <w:bookmarkStart w:id="865" w:name="_Toc188630280"/>
            <w:bookmarkStart w:id="866" w:name="_Toc188630340"/>
            <w:bookmarkStart w:id="867" w:name="_Toc188630401"/>
            <w:bookmarkStart w:id="868" w:name="_Toc188630468"/>
            <w:bookmarkStart w:id="869" w:name="_Toc188630752"/>
            <w:bookmarkStart w:id="870" w:name="_Toc188630812"/>
            <w:bookmarkStart w:id="871" w:name="_Toc188630881"/>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rsidRPr="00837D3D">
              <w:rPr>
                <w:b/>
                <w:bCs/>
              </w:rPr>
              <w:t>Criticality,</w:t>
            </w:r>
          </w:p>
          <w:p w:rsidR="00BC56A2" w:rsidRPr="00CF6B6A" w:rsidP="00837D3D" w14:paraId="05BB2998" w14:textId="77777777">
            <w:pPr>
              <w:jc w:val="center"/>
            </w:pPr>
            <w:r w:rsidRPr="00837D3D">
              <w:rPr>
                <w:b/>
                <w:bCs/>
              </w:rPr>
              <w:t>Severity of Harm (SOH), Severity of Effect (SOE)</w:t>
            </w:r>
          </w:p>
        </w:tc>
        <w:tc>
          <w:tcPr>
            <w:tcW w:w="8100" w:type="dxa"/>
            <w:gridSpan w:val="6"/>
            <w:shd w:val="clear" w:color="auto" w:fill="C1E5FF" w:themeFill="accent1" w:themeFillTint="33"/>
            <w:vAlign w:val="center"/>
          </w:tcPr>
          <w:p w:rsidR="00BC56A2" w:rsidRPr="00837D3D" w:rsidP="00837D3D" w14:paraId="78376323" w14:textId="77777777">
            <w:pPr>
              <w:jc w:val="center"/>
              <w:rPr>
                <w:b/>
                <w:bCs/>
              </w:rPr>
            </w:pPr>
            <w:r w:rsidRPr="00837D3D">
              <w:rPr>
                <w:b/>
                <w:bCs/>
              </w:rPr>
              <w:t>Variable Sampling Plans for PQ</w:t>
            </w:r>
          </w:p>
        </w:tc>
      </w:tr>
      <w:tr w14:paraId="346C78C3" w14:textId="77777777" w:rsidTr="00837D3D">
        <w:tblPrEx>
          <w:tblW w:w="10142" w:type="dxa"/>
          <w:tblInd w:w="-432" w:type="dxa"/>
          <w:tblLayout w:type="fixed"/>
          <w:tblLook w:val="04A0"/>
        </w:tblPrEx>
        <w:tc>
          <w:tcPr>
            <w:tcW w:w="2042" w:type="dxa"/>
            <w:vMerge/>
            <w:tcBorders>
              <w:bottom w:val="single" w:sz="8" w:space="0" w:color="auto"/>
            </w:tcBorders>
            <w:shd w:val="clear" w:color="auto" w:fill="C1E5FF" w:themeFill="accent1" w:themeFillTint="33"/>
            <w:vAlign w:val="center"/>
          </w:tcPr>
          <w:p w:rsidR="00BC56A2" w:rsidRPr="00CF6B6A" w:rsidP="00837D3D" w14:paraId="4B6A209A" w14:textId="77777777"/>
        </w:tc>
        <w:tc>
          <w:tcPr>
            <w:tcW w:w="1179" w:type="dxa"/>
            <w:tcBorders>
              <w:bottom w:val="single" w:sz="8" w:space="0" w:color="auto"/>
            </w:tcBorders>
            <w:shd w:val="clear" w:color="auto" w:fill="C1E5FF" w:themeFill="accent1" w:themeFillTint="33"/>
            <w:vAlign w:val="center"/>
          </w:tcPr>
          <w:p w:rsidR="00BC56A2" w:rsidRPr="00CF6B6A" w:rsidP="00837D3D" w14:paraId="4171937B" w14:textId="77777777">
            <w:pPr>
              <w:rPr>
                <w:bCs/>
                <w:vertAlign w:val="superscript"/>
              </w:rPr>
            </w:pPr>
            <w:r w:rsidRPr="00CF6B6A">
              <w:t>Reliability</w:t>
            </w:r>
            <w:r w:rsidRPr="00CF6B6A">
              <w:rPr>
                <w:vertAlign w:val="superscript"/>
              </w:rPr>
              <w:t xml:space="preserve"> [3]</w:t>
            </w:r>
          </w:p>
        </w:tc>
        <w:tc>
          <w:tcPr>
            <w:tcW w:w="755" w:type="dxa"/>
            <w:tcBorders>
              <w:bottom w:val="single" w:sz="8" w:space="0" w:color="auto"/>
            </w:tcBorders>
            <w:shd w:val="clear" w:color="auto" w:fill="C1E5FF" w:themeFill="accent1" w:themeFillTint="33"/>
            <w:vAlign w:val="center"/>
          </w:tcPr>
          <w:p w:rsidR="00BC56A2" w:rsidRPr="00CF6B6A" w:rsidP="00837D3D" w14:paraId="3D339FDD" w14:textId="77777777">
            <w:pPr>
              <w:rPr>
                <w:bCs/>
                <w:vertAlign w:val="superscript"/>
              </w:rPr>
            </w:pPr>
            <w:r w:rsidRPr="00CF6B6A">
              <w:t>RQL</w:t>
            </w:r>
            <w:r w:rsidRPr="00CF6B6A">
              <w:rPr>
                <w:vertAlign w:val="superscript"/>
              </w:rPr>
              <w:t xml:space="preserve"> [4]</w:t>
            </w:r>
          </w:p>
        </w:tc>
        <w:tc>
          <w:tcPr>
            <w:tcW w:w="999" w:type="dxa"/>
            <w:tcBorders>
              <w:bottom w:val="single" w:sz="8" w:space="0" w:color="auto"/>
            </w:tcBorders>
            <w:shd w:val="clear" w:color="auto" w:fill="C1E5FF" w:themeFill="accent1" w:themeFillTint="33"/>
            <w:vAlign w:val="center"/>
          </w:tcPr>
          <w:p w:rsidR="00BC56A2" w:rsidRPr="00CF6B6A" w:rsidP="00837D3D" w14:paraId="0088B463" w14:textId="77777777">
            <w:pPr>
              <w:rPr>
                <w:bCs/>
                <w:vertAlign w:val="superscript"/>
              </w:rPr>
            </w:pPr>
            <w:r w:rsidRPr="00CF6B6A">
              <w:t>Sample Size</w:t>
            </w:r>
            <w:r w:rsidRPr="00CF6B6A">
              <w:rPr>
                <w:vertAlign w:val="superscript"/>
              </w:rPr>
              <w:t xml:space="preserve"> [6]</w:t>
            </w:r>
          </w:p>
        </w:tc>
        <w:tc>
          <w:tcPr>
            <w:tcW w:w="837" w:type="dxa"/>
            <w:tcBorders>
              <w:bottom w:val="single" w:sz="8" w:space="0" w:color="auto"/>
            </w:tcBorders>
            <w:shd w:val="clear" w:color="auto" w:fill="C1E5FF" w:themeFill="accent1" w:themeFillTint="33"/>
            <w:vAlign w:val="center"/>
          </w:tcPr>
          <w:p w:rsidR="00BC56A2" w:rsidRPr="00CF6B6A" w:rsidP="00837D3D" w14:paraId="177CD7F0" w14:textId="77777777">
            <w:pPr>
              <w:rPr>
                <w:bCs/>
                <w:vertAlign w:val="superscript"/>
              </w:rPr>
            </w:pPr>
            <w:r w:rsidRPr="00CF6B6A">
              <w:t>P</w:t>
            </w:r>
            <w:r w:rsidRPr="00CF6B6A">
              <w:rPr>
                <w:vertAlign w:val="subscript"/>
              </w:rPr>
              <w:t>pk</w:t>
            </w:r>
            <w:r w:rsidRPr="00CF6B6A">
              <w:rPr>
                <w:vertAlign w:val="superscript"/>
              </w:rPr>
              <w:t xml:space="preserve"> [7]</w:t>
            </w:r>
          </w:p>
        </w:tc>
        <w:tc>
          <w:tcPr>
            <w:tcW w:w="918" w:type="dxa"/>
            <w:tcBorders>
              <w:top w:val="single" w:sz="6" w:space="0" w:color="auto"/>
              <w:bottom w:val="single" w:sz="8" w:space="0" w:color="auto"/>
            </w:tcBorders>
            <w:shd w:val="clear" w:color="auto" w:fill="C1E5FF" w:themeFill="accent1" w:themeFillTint="33"/>
            <w:vAlign w:val="center"/>
          </w:tcPr>
          <w:p w:rsidR="00BC56A2" w:rsidRPr="00CF6B6A" w:rsidP="00837D3D" w14:paraId="2B74DED8" w14:textId="77777777">
            <w:pPr>
              <w:rPr>
                <w:bCs/>
              </w:rPr>
            </w:pPr>
            <w:r w:rsidRPr="00CF6B6A">
              <w:t>P</w:t>
            </w:r>
            <w:r w:rsidRPr="00CF6B6A">
              <w:rPr>
                <w:vertAlign w:val="subscript"/>
              </w:rPr>
              <w:t>p</w:t>
            </w:r>
          </w:p>
        </w:tc>
        <w:tc>
          <w:tcPr>
            <w:tcW w:w="3412" w:type="dxa"/>
            <w:tcBorders>
              <w:top w:val="single" w:sz="6" w:space="0" w:color="auto"/>
              <w:bottom w:val="single" w:sz="8" w:space="0" w:color="auto"/>
            </w:tcBorders>
            <w:shd w:val="clear" w:color="auto" w:fill="C1E5FF" w:themeFill="accent1" w:themeFillTint="33"/>
            <w:vAlign w:val="center"/>
          </w:tcPr>
          <w:p w:rsidR="00BC56A2" w:rsidRPr="00CF6B6A" w:rsidP="00837D3D" w14:paraId="3D95BC7A" w14:textId="77777777">
            <w:pPr>
              <w:rPr>
                <w:bCs/>
                <w:vertAlign w:val="superscript"/>
              </w:rPr>
            </w:pPr>
            <w:r w:rsidRPr="00CF6B6A">
              <w:t>AQL</w:t>
            </w:r>
            <w:r w:rsidRPr="00CF6B6A">
              <w:rPr>
                <w:vertAlign w:val="superscript"/>
              </w:rPr>
              <w:t xml:space="preserve"> [</w:t>
            </w:r>
            <w:r>
              <w:rPr>
                <w:vertAlign w:val="superscript"/>
              </w:rPr>
              <w:t>5</w:t>
            </w:r>
            <w:r w:rsidRPr="00CF6B6A">
              <w:rPr>
                <w:vertAlign w:val="superscript"/>
              </w:rPr>
              <w:t>]</w:t>
            </w:r>
          </w:p>
        </w:tc>
      </w:tr>
      <w:tr w14:paraId="03507F11" w14:textId="77777777" w:rsidTr="00837D3D">
        <w:tblPrEx>
          <w:tblW w:w="10142" w:type="dxa"/>
          <w:tblInd w:w="-432" w:type="dxa"/>
          <w:tblLayout w:type="fixed"/>
          <w:tblLook w:val="04A0"/>
        </w:tblPrEx>
        <w:trPr>
          <w:trHeight w:val="154"/>
        </w:trPr>
        <w:tc>
          <w:tcPr>
            <w:tcW w:w="2042" w:type="dxa"/>
            <w:vMerge w:val="restart"/>
            <w:tcBorders>
              <w:top w:val="single" w:sz="8" w:space="0" w:color="auto"/>
              <w:bottom w:val="single" w:sz="6" w:space="0" w:color="auto"/>
            </w:tcBorders>
            <w:vAlign w:val="center"/>
          </w:tcPr>
          <w:p w:rsidR="00BC56A2" w:rsidRPr="00837D3D" w:rsidP="00837D3D" w14:paraId="4061AA4E" w14:textId="77777777">
            <w:pPr>
              <w:rPr>
                <w:sz w:val="20"/>
                <w:szCs w:val="18"/>
                <w:vertAlign w:val="superscript"/>
              </w:rPr>
            </w:pPr>
            <w:r w:rsidRPr="00837D3D">
              <w:rPr>
                <w:sz w:val="20"/>
                <w:szCs w:val="18"/>
              </w:rPr>
              <w:t>CTS-S4</w:t>
            </w:r>
            <w:r w:rsidRPr="00837D3D">
              <w:rPr>
                <w:sz w:val="20"/>
                <w:szCs w:val="18"/>
                <w:vertAlign w:val="superscript"/>
              </w:rPr>
              <w:t>[1]</w:t>
            </w:r>
          </w:p>
        </w:tc>
        <w:tc>
          <w:tcPr>
            <w:tcW w:w="1179" w:type="dxa"/>
            <w:vMerge w:val="restart"/>
            <w:tcBorders>
              <w:top w:val="single" w:sz="8" w:space="0" w:color="auto"/>
              <w:bottom w:val="single" w:sz="6" w:space="0" w:color="auto"/>
            </w:tcBorders>
            <w:vAlign w:val="center"/>
          </w:tcPr>
          <w:p w:rsidR="00BC56A2" w:rsidRPr="00837D3D" w:rsidP="00837D3D" w14:paraId="7DCF4787" w14:textId="77777777">
            <w:pPr>
              <w:rPr>
                <w:sz w:val="20"/>
                <w:szCs w:val="18"/>
              </w:rPr>
            </w:pPr>
            <w:r w:rsidRPr="00837D3D">
              <w:rPr>
                <w:sz w:val="20"/>
                <w:szCs w:val="18"/>
              </w:rPr>
              <w:t>99%</w:t>
            </w:r>
          </w:p>
        </w:tc>
        <w:tc>
          <w:tcPr>
            <w:tcW w:w="755" w:type="dxa"/>
            <w:vMerge w:val="restart"/>
            <w:tcBorders>
              <w:top w:val="single" w:sz="8" w:space="0" w:color="auto"/>
              <w:bottom w:val="single" w:sz="6" w:space="0" w:color="auto"/>
            </w:tcBorders>
            <w:vAlign w:val="center"/>
          </w:tcPr>
          <w:p w:rsidR="00BC56A2" w:rsidRPr="00837D3D" w:rsidP="00837D3D" w14:paraId="13F7F40A" w14:textId="77777777">
            <w:pPr>
              <w:rPr>
                <w:sz w:val="20"/>
                <w:szCs w:val="18"/>
              </w:rPr>
            </w:pPr>
            <w:r w:rsidRPr="00837D3D">
              <w:rPr>
                <w:sz w:val="20"/>
                <w:szCs w:val="18"/>
              </w:rPr>
              <w:t>1%</w:t>
            </w:r>
          </w:p>
        </w:tc>
        <w:tc>
          <w:tcPr>
            <w:tcW w:w="999" w:type="dxa"/>
            <w:tcBorders>
              <w:top w:val="single" w:sz="8" w:space="0" w:color="auto"/>
              <w:bottom w:val="single" w:sz="6" w:space="0" w:color="auto"/>
            </w:tcBorders>
          </w:tcPr>
          <w:p w:rsidR="00BC56A2" w:rsidRPr="00837D3D" w:rsidP="00837D3D" w14:paraId="2A59EFFD" w14:textId="77777777">
            <w:pPr>
              <w:rPr>
                <w:sz w:val="20"/>
                <w:szCs w:val="18"/>
              </w:rPr>
            </w:pPr>
            <w:r w:rsidRPr="00837D3D">
              <w:rPr>
                <w:sz w:val="20"/>
                <w:szCs w:val="18"/>
              </w:rPr>
              <w:t>n=15</w:t>
            </w:r>
          </w:p>
        </w:tc>
        <w:tc>
          <w:tcPr>
            <w:tcW w:w="837" w:type="dxa"/>
            <w:tcBorders>
              <w:top w:val="single" w:sz="8" w:space="0" w:color="auto"/>
              <w:bottom w:val="single" w:sz="6" w:space="0" w:color="auto"/>
            </w:tcBorders>
          </w:tcPr>
          <w:p w:rsidR="00BC56A2" w:rsidRPr="00837D3D" w:rsidP="00837D3D" w14:paraId="575873E8" w14:textId="77777777">
            <w:pPr>
              <w:rPr>
                <w:sz w:val="20"/>
                <w:szCs w:val="18"/>
              </w:rPr>
            </w:pPr>
            <w:r w:rsidRPr="00837D3D">
              <w:rPr>
                <w:sz w:val="20"/>
                <w:szCs w:val="18"/>
              </w:rPr>
              <w:t>1.18</w:t>
            </w:r>
          </w:p>
        </w:tc>
        <w:tc>
          <w:tcPr>
            <w:tcW w:w="918" w:type="dxa"/>
            <w:tcBorders>
              <w:top w:val="single" w:sz="8" w:space="0" w:color="auto"/>
              <w:bottom w:val="single" w:sz="6" w:space="0" w:color="auto"/>
            </w:tcBorders>
          </w:tcPr>
          <w:p w:rsidR="00BC56A2" w:rsidRPr="00837D3D" w:rsidP="00837D3D" w14:paraId="7763718E" w14:textId="77777777">
            <w:pPr>
              <w:rPr>
                <w:sz w:val="20"/>
                <w:szCs w:val="18"/>
              </w:rPr>
            </w:pPr>
            <w:r w:rsidRPr="00837D3D">
              <w:rPr>
                <w:sz w:val="20"/>
                <w:szCs w:val="18"/>
              </w:rPr>
              <w:t>1.18</w:t>
            </w:r>
          </w:p>
        </w:tc>
        <w:tc>
          <w:tcPr>
            <w:tcW w:w="3412" w:type="dxa"/>
            <w:tcBorders>
              <w:top w:val="single" w:sz="8" w:space="0" w:color="auto"/>
              <w:bottom w:val="single" w:sz="6" w:space="0" w:color="auto"/>
            </w:tcBorders>
          </w:tcPr>
          <w:p w:rsidR="00BC56A2" w:rsidRPr="00837D3D" w:rsidP="00837D3D" w14:paraId="3D085277" w14:textId="77777777">
            <w:pPr>
              <w:rPr>
                <w:sz w:val="20"/>
                <w:szCs w:val="18"/>
              </w:rPr>
            </w:pPr>
            <w:r w:rsidRPr="00837D3D">
              <w:rPr>
                <w:sz w:val="20"/>
                <w:szCs w:val="18"/>
              </w:rPr>
              <w:t>0.00013% corresponding to P</w:t>
            </w:r>
            <w:r w:rsidRPr="00837D3D">
              <w:rPr>
                <w:sz w:val="20"/>
                <w:szCs w:val="18"/>
                <w:vertAlign w:val="subscript"/>
              </w:rPr>
              <w:t xml:space="preserve">pk </w:t>
            </w:r>
            <w:r w:rsidRPr="00837D3D">
              <w:rPr>
                <w:sz w:val="20"/>
                <w:szCs w:val="18"/>
              </w:rPr>
              <w:t>= 1.57</w:t>
            </w:r>
          </w:p>
        </w:tc>
      </w:tr>
      <w:tr w14:paraId="28A74C7F" w14:textId="77777777" w:rsidTr="00837D3D">
        <w:tblPrEx>
          <w:tblW w:w="10142" w:type="dxa"/>
          <w:tblInd w:w="-432" w:type="dxa"/>
          <w:tblLayout w:type="fixed"/>
          <w:tblLook w:val="04A0"/>
        </w:tblPrEx>
        <w:trPr>
          <w:trHeight w:val="152"/>
        </w:trPr>
        <w:tc>
          <w:tcPr>
            <w:tcW w:w="2042" w:type="dxa"/>
            <w:vMerge/>
            <w:tcBorders>
              <w:top w:val="single" w:sz="6" w:space="0" w:color="auto"/>
              <w:bottom w:val="single" w:sz="6" w:space="0" w:color="auto"/>
            </w:tcBorders>
            <w:vAlign w:val="center"/>
          </w:tcPr>
          <w:p w:rsidR="00BC56A2" w:rsidRPr="00837D3D" w:rsidP="00837D3D" w14:paraId="42276EDD" w14:textId="77777777">
            <w:pPr>
              <w:rPr>
                <w:sz w:val="20"/>
                <w:szCs w:val="18"/>
              </w:rPr>
            </w:pPr>
          </w:p>
        </w:tc>
        <w:tc>
          <w:tcPr>
            <w:tcW w:w="1179" w:type="dxa"/>
            <w:vMerge/>
            <w:tcBorders>
              <w:top w:val="single" w:sz="6" w:space="0" w:color="auto"/>
              <w:bottom w:val="single" w:sz="6" w:space="0" w:color="auto"/>
            </w:tcBorders>
            <w:vAlign w:val="center"/>
          </w:tcPr>
          <w:p w:rsidR="00BC56A2" w:rsidRPr="00837D3D" w:rsidP="00837D3D" w14:paraId="7DD4FD42" w14:textId="77777777">
            <w:pPr>
              <w:rPr>
                <w:sz w:val="20"/>
                <w:szCs w:val="18"/>
              </w:rPr>
            </w:pPr>
          </w:p>
        </w:tc>
        <w:tc>
          <w:tcPr>
            <w:tcW w:w="755" w:type="dxa"/>
            <w:vMerge/>
            <w:tcBorders>
              <w:top w:val="single" w:sz="6" w:space="0" w:color="auto"/>
              <w:bottom w:val="single" w:sz="6" w:space="0" w:color="auto"/>
            </w:tcBorders>
            <w:vAlign w:val="center"/>
          </w:tcPr>
          <w:p w:rsidR="00BC56A2" w:rsidRPr="00837D3D" w:rsidP="00837D3D" w14:paraId="6F04D02C" w14:textId="77777777">
            <w:pPr>
              <w:rPr>
                <w:sz w:val="20"/>
                <w:szCs w:val="18"/>
              </w:rPr>
            </w:pPr>
          </w:p>
        </w:tc>
        <w:tc>
          <w:tcPr>
            <w:tcW w:w="999" w:type="dxa"/>
            <w:tcBorders>
              <w:top w:val="single" w:sz="6" w:space="0" w:color="auto"/>
              <w:bottom w:val="single" w:sz="6" w:space="0" w:color="auto"/>
            </w:tcBorders>
          </w:tcPr>
          <w:p w:rsidR="00BC56A2" w:rsidRPr="00837D3D" w:rsidP="00837D3D" w14:paraId="26B32A49" w14:textId="77777777">
            <w:pPr>
              <w:rPr>
                <w:sz w:val="20"/>
                <w:szCs w:val="18"/>
              </w:rPr>
            </w:pPr>
            <w:r w:rsidRPr="00837D3D">
              <w:rPr>
                <w:sz w:val="20"/>
                <w:szCs w:val="18"/>
              </w:rPr>
              <w:t>n=20</w:t>
            </w:r>
          </w:p>
        </w:tc>
        <w:tc>
          <w:tcPr>
            <w:tcW w:w="837" w:type="dxa"/>
            <w:tcBorders>
              <w:top w:val="single" w:sz="6" w:space="0" w:color="auto"/>
              <w:bottom w:val="single" w:sz="6" w:space="0" w:color="auto"/>
            </w:tcBorders>
          </w:tcPr>
          <w:p w:rsidR="00BC56A2" w:rsidRPr="00837D3D" w:rsidP="00837D3D" w14:paraId="426A0790" w14:textId="77777777">
            <w:pPr>
              <w:rPr>
                <w:sz w:val="20"/>
                <w:szCs w:val="18"/>
              </w:rPr>
            </w:pPr>
            <w:r w:rsidRPr="00837D3D">
              <w:rPr>
                <w:sz w:val="20"/>
                <w:szCs w:val="18"/>
              </w:rPr>
              <w:t>1.11</w:t>
            </w:r>
          </w:p>
        </w:tc>
        <w:tc>
          <w:tcPr>
            <w:tcW w:w="918" w:type="dxa"/>
            <w:tcBorders>
              <w:top w:val="single" w:sz="6" w:space="0" w:color="auto"/>
              <w:bottom w:val="single" w:sz="6" w:space="0" w:color="auto"/>
            </w:tcBorders>
          </w:tcPr>
          <w:p w:rsidR="00BC56A2" w:rsidRPr="00837D3D" w:rsidP="00837D3D" w14:paraId="78B0FF5E" w14:textId="77777777">
            <w:pPr>
              <w:rPr>
                <w:sz w:val="20"/>
                <w:szCs w:val="18"/>
              </w:rPr>
            </w:pPr>
            <w:r w:rsidRPr="00837D3D">
              <w:rPr>
                <w:sz w:val="20"/>
                <w:szCs w:val="18"/>
              </w:rPr>
              <w:t>1.13</w:t>
            </w:r>
          </w:p>
        </w:tc>
        <w:tc>
          <w:tcPr>
            <w:tcW w:w="3412" w:type="dxa"/>
            <w:tcBorders>
              <w:top w:val="single" w:sz="6" w:space="0" w:color="auto"/>
              <w:bottom w:val="single" w:sz="6" w:space="0" w:color="auto"/>
            </w:tcBorders>
          </w:tcPr>
          <w:p w:rsidR="00BC56A2" w:rsidRPr="00837D3D" w:rsidP="00837D3D" w14:paraId="3941B41B" w14:textId="77777777">
            <w:pPr>
              <w:rPr>
                <w:sz w:val="20"/>
                <w:szCs w:val="18"/>
              </w:rPr>
            </w:pPr>
            <w:r w:rsidRPr="00837D3D">
              <w:rPr>
                <w:sz w:val="20"/>
                <w:szCs w:val="18"/>
              </w:rPr>
              <w:t>0.0010% corresponding to P</w:t>
            </w:r>
            <w:r w:rsidRPr="00837D3D">
              <w:rPr>
                <w:sz w:val="20"/>
                <w:szCs w:val="18"/>
                <w:vertAlign w:val="subscript"/>
              </w:rPr>
              <w:t xml:space="preserve">pk </w:t>
            </w:r>
            <w:r w:rsidRPr="00837D3D">
              <w:rPr>
                <w:sz w:val="20"/>
                <w:szCs w:val="18"/>
              </w:rPr>
              <w:t>= 1.42</w:t>
            </w:r>
          </w:p>
        </w:tc>
      </w:tr>
      <w:tr w14:paraId="77E44223" w14:textId="77777777" w:rsidTr="00837D3D">
        <w:tblPrEx>
          <w:tblW w:w="10142" w:type="dxa"/>
          <w:tblInd w:w="-432" w:type="dxa"/>
          <w:tblLayout w:type="fixed"/>
          <w:tblLook w:val="04A0"/>
        </w:tblPrEx>
        <w:trPr>
          <w:trHeight w:val="152"/>
        </w:trPr>
        <w:tc>
          <w:tcPr>
            <w:tcW w:w="2042" w:type="dxa"/>
            <w:vMerge/>
            <w:tcBorders>
              <w:top w:val="single" w:sz="6" w:space="0" w:color="auto"/>
              <w:bottom w:val="single" w:sz="8" w:space="0" w:color="auto"/>
            </w:tcBorders>
            <w:vAlign w:val="center"/>
          </w:tcPr>
          <w:p w:rsidR="00BC56A2" w:rsidRPr="00837D3D" w:rsidP="00837D3D" w14:paraId="352E7210" w14:textId="77777777">
            <w:pPr>
              <w:rPr>
                <w:sz w:val="20"/>
                <w:szCs w:val="18"/>
              </w:rPr>
            </w:pPr>
          </w:p>
        </w:tc>
        <w:tc>
          <w:tcPr>
            <w:tcW w:w="1179" w:type="dxa"/>
            <w:vMerge/>
            <w:tcBorders>
              <w:top w:val="single" w:sz="6" w:space="0" w:color="auto"/>
              <w:bottom w:val="single" w:sz="8" w:space="0" w:color="auto"/>
            </w:tcBorders>
            <w:vAlign w:val="center"/>
          </w:tcPr>
          <w:p w:rsidR="00BC56A2" w:rsidRPr="00837D3D" w:rsidP="00837D3D" w14:paraId="51DAA60E" w14:textId="77777777">
            <w:pPr>
              <w:rPr>
                <w:sz w:val="20"/>
                <w:szCs w:val="18"/>
              </w:rPr>
            </w:pPr>
          </w:p>
        </w:tc>
        <w:tc>
          <w:tcPr>
            <w:tcW w:w="755" w:type="dxa"/>
            <w:vMerge/>
            <w:tcBorders>
              <w:top w:val="single" w:sz="6" w:space="0" w:color="auto"/>
              <w:bottom w:val="single" w:sz="8" w:space="0" w:color="auto"/>
            </w:tcBorders>
            <w:vAlign w:val="center"/>
          </w:tcPr>
          <w:p w:rsidR="00BC56A2" w:rsidRPr="00837D3D" w:rsidP="00837D3D" w14:paraId="4C21438C" w14:textId="77777777">
            <w:pPr>
              <w:rPr>
                <w:sz w:val="20"/>
                <w:szCs w:val="18"/>
              </w:rPr>
            </w:pPr>
          </w:p>
        </w:tc>
        <w:tc>
          <w:tcPr>
            <w:tcW w:w="999" w:type="dxa"/>
            <w:tcBorders>
              <w:top w:val="single" w:sz="6" w:space="0" w:color="auto"/>
              <w:bottom w:val="single" w:sz="8" w:space="0" w:color="auto"/>
            </w:tcBorders>
          </w:tcPr>
          <w:p w:rsidR="00BC56A2" w:rsidRPr="00837D3D" w:rsidP="00837D3D" w14:paraId="3329313F" w14:textId="77777777">
            <w:pPr>
              <w:rPr>
                <w:sz w:val="20"/>
                <w:szCs w:val="18"/>
              </w:rPr>
            </w:pPr>
            <w:r w:rsidRPr="00837D3D">
              <w:rPr>
                <w:sz w:val="20"/>
                <w:szCs w:val="18"/>
              </w:rPr>
              <w:t>n=30</w:t>
            </w:r>
          </w:p>
        </w:tc>
        <w:tc>
          <w:tcPr>
            <w:tcW w:w="837" w:type="dxa"/>
            <w:tcBorders>
              <w:top w:val="single" w:sz="6" w:space="0" w:color="auto"/>
              <w:bottom w:val="single" w:sz="8" w:space="0" w:color="auto"/>
            </w:tcBorders>
          </w:tcPr>
          <w:p w:rsidR="00BC56A2" w:rsidRPr="00837D3D" w:rsidP="00837D3D" w14:paraId="4E52FA21" w14:textId="77777777">
            <w:pPr>
              <w:rPr>
                <w:sz w:val="20"/>
                <w:szCs w:val="18"/>
              </w:rPr>
            </w:pPr>
            <w:r w:rsidRPr="00837D3D">
              <w:rPr>
                <w:sz w:val="20"/>
                <w:szCs w:val="18"/>
              </w:rPr>
              <w:t>1.04</w:t>
            </w:r>
          </w:p>
        </w:tc>
        <w:tc>
          <w:tcPr>
            <w:tcW w:w="918" w:type="dxa"/>
            <w:tcBorders>
              <w:top w:val="single" w:sz="6" w:space="0" w:color="auto"/>
              <w:bottom w:val="single" w:sz="8" w:space="0" w:color="auto"/>
            </w:tcBorders>
          </w:tcPr>
          <w:p w:rsidR="00BC56A2" w:rsidRPr="00837D3D" w:rsidP="00837D3D" w14:paraId="60529F53" w14:textId="77777777">
            <w:pPr>
              <w:rPr>
                <w:sz w:val="20"/>
                <w:szCs w:val="18"/>
              </w:rPr>
            </w:pPr>
            <w:r w:rsidRPr="00837D3D">
              <w:rPr>
                <w:sz w:val="20"/>
                <w:szCs w:val="18"/>
              </w:rPr>
              <w:t>1.08</w:t>
            </w:r>
          </w:p>
        </w:tc>
        <w:tc>
          <w:tcPr>
            <w:tcW w:w="3412" w:type="dxa"/>
            <w:tcBorders>
              <w:top w:val="single" w:sz="6" w:space="0" w:color="auto"/>
              <w:bottom w:val="single" w:sz="8" w:space="0" w:color="auto"/>
            </w:tcBorders>
          </w:tcPr>
          <w:p w:rsidR="00BC56A2" w:rsidRPr="00837D3D" w:rsidP="00837D3D" w14:paraId="5CB71D19" w14:textId="77777777">
            <w:pPr>
              <w:rPr>
                <w:sz w:val="20"/>
                <w:szCs w:val="18"/>
              </w:rPr>
            </w:pPr>
            <w:r w:rsidRPr="00837D3D">
              <w:rPr>
                <w:sz w:val="20"/>
                <w:szCs w:val="18"/>
              </w:rPr>
              <w:t>0.0061% corresponding to P</w:t>
            </w:r>
            <w:r w:rsidRPr="00837D3D">
              <w:rPr>
                <w:sz w:val="20"/>
                <w:szCs w:val="18"/>
                <w:vertAlign w:val="subscript"/>
              </w:rPr>
              <w:t xml:space="preserve">pk </w:t>
            </w:r>
            <w:r w:rsidRPr="00837D3D">
              <w:rPr>
                <w:sz w:val="20"/>
                <w:szCs w:val="18"/>
              </w:rPr>
              <w:t>= 1.28</w:t>
            </w:r>
          </w:p>
        </w:tc>
      </w:tr>
      <w:tr w14:paraId="1F85871E" w14:textId="77777777" w:rsidTr="00837D3D">
        <w:tblPrEx>
          <w:tblW w:w="10142" w:type="dxa"/>
          <w:tblInd w:w="-432" w:type="dxa"/>
          <w:tblLayout w:type="fixed"/>
          <w:tblLook w:val="04A0"/>
        </w:tblPrEx>
        <w:trPr>
          <w:trHeight w:val="81"/>
        </w:trPr>
        <w:tc>
          <w:tcPr>
            <w:tcW w:w="2042" w:type="dxa"/>
            <w:vMerge w:val="restart"/>
            <w:tcBorders>
              <w:top w:val="single" w:sz="8" w:space="0" w:color="auto"/>
            </w:tcBorders>
            <w:vAlign w:val="center"/>
          </w:tcPr>
          <w:p w:rsidR="00BC56A2" w:rsidRPr="00837D3D" w:rsidP="00837D3D" w14:paraId="0ACA34CD" w14:textId="77777777">
            <w:pPr>
              <w:rPr>
                <w:sz w:val="20"/>
                <w:szCs w:val="18"/>
                <w:vertAlign w:val="superscript"/>
              </w:rPr>
            </w:pPr>
            <w:r w:rsidRPr="00837D3D">
              <w:rPr>
                <w:sz w:val="20"/>
                <w:szCs w:val="18"/>
              </w:rPr>
              <w:t>CTS-S3</w:t>
            </w:r>
            <w:r w:rsidRPr="00837D3D">
              <w:rPr>
                <w:sz w:val="20"/>
                <w:szCs w:val="18"/>
                <w:vertAlign w:val="superscript"/>
              </w:rPr>
              <w:t>[1]</w:t>
            </w:r>
          </w:p>
        </w:tc>
        <w:tc>
          <w:tcPr>
            <w:tcW w:w="1179" w:type="dxa"/>
            <w:vMerge w:val="restart"/>
            <w:tcBorders>
              <w:top w:val="single" w:sz="8" w:space="0" w:color="auto"/>
            </w:tcBorders>
            <w:vAlign w:val="center"/>
          </w:tcPr>
          <w:p w:rsidR="00BC56A2" w:rsidRPr="00837D3D" w:rsidP="00837D3D" w14:paraId="0A584829" w14:textId="77777777">
            <w:pPr>
              <w:rPr>
                <w:sz w:val="20"/>
                <w:szCs w:val="18"/>
              </w:rPr>
            </w:pPr>
            <w:r w:rsidRPr="00837D3D">
              <w:rPr>
                <w:sz w:val="20"/>
                <w:szCs w:val="18"/>
              </w:rPr>
              <w:t>97%</w:t>
            </w:r>
          </w:p>
        </w:tc>
        <w:tc>
          <w:tcPr>
            <w:tcW w:w="755" w:type="dxa"/>
            <w:vMerge w:val="restart"/>
            <w:tcBorders>
              <w:top w:val="single" w:sz="8" w:space="0" w:color="auto"/>
            </w:tcBorders>
            <w:vAlign w:val="center"/>
          </w:tcPr>
          <w:p w:rsidR="00BC56A2" w:rsidRPr="00837D3D" w:rsidP="00837D3D" w14:paraId="77D4FC65" w14:textId="77777777">
            <w:pPr>
              <w:rPr>
                <w:sz w:val="20"/>
                <w:szCs w:val="18"/>
              </w:rPr>
            </w:pPr>
            <w:r w:rsidRPr="00837D3D">
              <w:rPr>
                <w:sz w:val="20"/>
                <w:szCs w:val="18"/>
              </w:rPr>
              <w:t>3%</w:t>
            </w:r>
          </w:p>
        </w:tc>
        <w:tc>
          <w:tcPr>
            <w:tcW w:w="999" w:type="dxa"/>
            <w:tcBorders>
              <w:top w:val="single" w:sz="8" w:space="0" w:color="auto"/>
            </w:tcBorders>
          </w:tcPr>
          <w:p w:rsidR="00BC56A2" w:rsidRPr="00837D3D" w:rsidP="00837D3D" w14:paraId="40E3B50A" w14:textId="77777777">
            <w:pPr>
              <w:rPr>
                <w:sz w:val="20"/>
                <w:szCs w:val="18"/>
              </w:rPr>
            </w:pPr>
            <w:r w:rsidRPr="00837D3D">
              <w:rPr>
                <w:sz w:val="20"/>
                <w:szCs w:val="18"/>
              </w:rPr>
              <w:t>n=15</w:t>
            </w:r>
          </w:p>
        </w:tc>
        <w:tc>
          <w:tcPr>
            <w:tcW w:w="837" w:type="dxa"/>
            <w:tcBorders>
              <w:top w:val="single" w:sz="8" w:space="0" w:color="auto"/>
            </w:tcBorders>
          </w:tcPr>
          <w:p w:rsidR="00BC56A2" w:rsidRPr="00837D3D" w:rsidP="00837D3D" w14:paraId="7AA50E55" w14:textId="77777777">
            <w:pPr>
              <w:rPr>
                <w:sz w:val="20"/>
                <w:szCs w:val="18"/>
              </w:rPr>
            </w:pPr>
            <w:r w:rsidRPr="00837D3D">
              <w:rPr>
                <w:sz w:val="20"/>
                <w:szCs w:val="18"/>
              </w:rPr>
              <w:t>0.97</w:t>
            </w:r>
          </w:p>
        </w:tc>
        <w:tc>
          <w:tcPr>
            <w:tcW w:w="918" w:type="dxa"/>
            <w:tcBorders>
              <w:top w:val="single" w:sz="8" w:space="0" w:color="auto"/>
            </w:tcBorders>
          </w:tcPr>
          <w:p w:rsidR="00BC56A2" w:rsidRPr="00837D3D" w:rsidP="00837D3D" w14:paraId="2923BA95" w14:textId="77777777">
            <w:pPr>
              <w:rPr>
                <w:sz w:val="20"/>
                <w:szCs w:val="18"/>
              </w:rPr>
            </w:pPr>
            <w:r w:rsidRPr="00837D3D">
              <w:rPr>
                <w:sz w:val="20"/>
                <w:szCs w:val="18"/>
              </w:rPr>
              <w:t>1.00</w:t>
            </w:r>
          </w:p>
        </w:tc>
        <w:tc>
          <w:tcPr>
            <w:tcW w:w="3412" w:type="dxa"/>
            <w:tcBorders>
              <w:top w:val="single" w:sz="8" w:space="0" w:color="auto"/>
            </w:tcBorders>
          </w:tcPr>
          <w:p w:rsidR="00BC56A2" w:rsidRPr="00837D3D" w:rsidP="00837D3D" w14:paraId="5AB9A897" w14:textId="77777777">
            <w:pPr>
              <w:rPr>
                <w:sz w:val="20"/>
                <w:szCs w:val="18"/>
              </w:rPr>
            </w:pPr>
            <w:r w:rsidRPr="00837D3D">
              <w:rPr>
                <w:sz w:val="20"/>
                <w:szCs w:val="18"/>
              </w:rPr>
              <w:t>0.0053% corresponding to P</w:t>
            </w:r>
            <w:r w:rsidRPr="00837D3D">
              <w:rPr>
                <w:sz w:val="20"/>
                <w:szCs w:val="18"/>
                <w:vertAlign w:val="subscript"/>
              </w:rPr>
              <w:t xml:space="preserve">pk </w:t>
            </w:r>
            <w:r w:rsidRPr="00837D3D">
              <w:rPr>
                <w:sz w:val="20"/>
                <w:szCs w:val="18"/>
              </w:rPr>
              <w:t>= 1.29</w:t>
            </w:r>
          </w:p>
        </w:tc>
      </w:tr>
      <w:tr w14:paraId="70D98654" w14:textId="77777777" w:rsidTr="00837D3D">
        <w:tblPrEx>
          <w:tblW w:w="10142" w:type="dxa"/>
          <w:tblInd w:w="-432" w:type="dxa"/>
          <w:tblLayout w:type="fixed"/>
          <w:tblLook w:val="04A0"/>
        </w:tblPrEx>
        <w:trPr>
          <w:trHeight w:val="81"/>
        </w:trPr>
        <w:tc>
          <w:tcPr>
            <w:tcW w:w="2042" w:type="dxa"/>
            <w:vMerge/>
            <w:vAlign w:val="center"/>
          </w:tcPr>
          <w:p w:rsidR="00BC56A2" w:rsidRPr="00837D3D" w:rsidP="00837D3D" w14:paraId="609D50B4" w14:textId="77777777">
            <w:pPr>
              <w:rPr>
                <w:sz w:val="20"/>
                <w:szCs w:val="18"/>
              </w:rPr>
            </w:pPr>
          </w:p>
        </w:tc>
        <w:tc>
          <w:tcPr>
            <w:tcW w:w="1179" w:type="dxa"/>
            <w:vMerge/>
            <w:vAlign w:val="center"/>
          </w:tcPr>
          <w:p w:rsidR="00BC56A2" w:rsidRPr="00837D3D" w:rsidP="00837D3D" w14:paraId="0E2DFC2F" w14:textId="77777777">
            <w:pPr>
              <w:rPr>
                <w:sz w:val="20"/>
                <w:szCs w:val="18"/>
              </w:rPr>
            </w:pPr>
          </w:p>
        </w:tc>
        <w:tc>
          <w:tcPr>
            <w:tcW w:w="755" w:type="dxa"/>
            <w:vMerge/>
            <w:vAlign w:val="center"/>
          </w:tcPr>
          <w:p w:rsidR="00BC56A2" w:rsidRPr="00837D3D" w:rsidP="00837D3D" w14:paraId="1530550B" w14:textId="77777777">
            <w:pPr>
              <w:rPr>
                <w:sz w:val="20"/>
                <w:szCs w:val="18"/>
              </w:rPr>
            </w:pPr>
          </w:p>
        </w:tc>
        <w:tc>
          <w:tcPr>
            <w:tcW w:w="999" w:type="dxa"/>
          </w:tcPr>
          <w:p w:rsidR="00BC56A2" w:rsidRPr="00837D3D" w:rsidP="00837D3D" w14:paraId="7A3B42C9" w14:textId="77777777">
            <w:pPr>
              <w:rPr>
                <w:sz w:val="20"/>
                <w:szCs w:val="18"/>
              </w:rPr>
            </w:pPr>
            <w:r w:rsidRPr="00837D3D">
              <w:rPr>
                <w:sz w:val="20"/>
                <w:szCs w:val="18"/>
              </w:rPr>
              <w:t>n=20</w:t>
            </w:r>
          </w:p>
        </w:tc>
        <w:tc>
          <w:tcPr>
            <w:tcW w:w="837" w:type="dxa"/>
          </w:tcPr>
          <w:p w:rsidR="00BC56A2" w:rsidRPr="00837D3D" w:rsidP="00837D3D" w14:paraId="4E7E1746" w14:textId="77777777">
            <w:pPr>
              <w:rPr>
                <w:sz w:val="20"/>
                <w:szCs w:val="18"/>
              </w:rPr>
            </w:pPr>
            <w:r w:rsidRPr="00837D3D">
              <w:rPr>
                <w:sz w:val="20"/>
                <w:szCs w:val="18"/>
              </w:rPr>
              <w:t>0.92</w:t>
            </w:r>
          </w:p>
        </w:tc>
        <w:tc>
          <w:tcPr>
            <w:tcW w:w="918" w:type="dxa"/>
          </w:tcPr>
          <w:p w:rsidR="00BC56A2" w:rsidRPr="00837D3D" w:rsidP="00837D3D" w14:paraId="564FB4D1" w14:textId="77777777">
            <w:pPr>
              <w:rPr>
                <w:sz w:val="20"/>
                <w:szCs w:val="18"/>
              </w:rPr>
            </w:pPr>
            <w:r w:rsidRPr="00837D3D">
              <w:rPr>
                <w:sz w:val="20"/>
                <w:szCs w:val="18"/>
              </w:rPr>
              <w:t>0.96</w:t>
            </w:r>
          </w:p>
        </w:tc>
        <w:tc>
          <w:tcPr>
            <w:tcW w:w="3412" w:type="dxa"/>
          </w:tcPr>
          <w:p w:rsidR="00BC56A2" w:rsidRPr="00837D3D" w:rsidP="00837D3D" w14:paraId="4AD88E57" w14:textId="77777777">
            <w:pPr>
              <w:rPr>
                <w:sz w:val="20"/>
                <w:szCs w:val="18"/>
              </w:rPr>
            </w:pPr>
            <w:r w:rsidRPr="00837D3D">
              <w:rPr>
                <w:sz w:val="20"/>
                <w:szCs w:val="18"/>
              </w:rPr>
              <w:t>0.019% corresponding to P</w:t>
            </w:r>
            <w:r w:rsidRPr="00837D3D">
              <w:rPr>
                <w:sz w:val="20"/>
                <w:szCs w:val="18"/>
                <w:vertAlign w:val="subscript"/>
              </w:rPr>
              <w:t xml:space="preserve">pk </w:t>
            </w:r>
            <w:r w:rsidRPr="00837D3D">
              <w:rPr>
                <w:sz w:val="20"/>
                <w:szCs w:val="18"/>
              </w:rPr>
              <w:t>= 1.19</w:t>
            </w:r>
          </w:p>
        </w:tc>
      </w:tr>
      <w:tr w14:paraId="4DBFE964" w14:textId="77777777" w:rsidTr="00837D3D">
        <w:tblPrEx>
          <w:tblW w:w="10142" w:type="dxa"/>
          <w:tblInd w:w="-432" w:type="dxa"/>
          <w:tblLayout w:type="fixed"/>
          <w:tblLook w:val="04A0"/>
        </w:tblPrEx>
        <w:trPr>
          <w:trHeight w:val="81"/>
        </w:trPr>
        <w:tc>
          <w:tcPr>
            <w:tcW w:w="2042" w:type="dxa"/>
            <w:vMerge/>
            <w:tcBorders>
              <w:bottom w:val="single" w:sz="8" w:space="0" w:color="auto"/>
            </w:tcBorders>
            <w:vAlign w:val="center"/>
          </w:tcPr>
          <w:p w:rsidR="00BC56A2" w:rsidRPr="00837D3D" w:rsidP="00837D3D" w14:paraId="640345D7" w14:textId="77777777">
            <w:pPr>
              <w:rPr>
                <w:sz w:val="20"/>
                <w:szCs w:val="18"/>
              </w:rPr>
            </w:pPr>
          </w:p>
        </w:tc>
        <w:tc>
          <w:tcPr>
            <w:tcW w:w="1179" w:type="dxa"/>
            <w:vMerge/>
            <w:tcBorders>
              <w:bottom w:val="single" w:sz="8" w:space="0" w:color="auto"/>
            </w:tcBorders>
            <w:vAlign w:val="center"/>
          </w:tcPr>
          <w:p w:rsidR="00BC56A2" w:rsidRPr="00837D3D" w:rsidP="00837D3D" w14:paraId="6C9B36B9" w14:textId="77777777">
            <w:pPr>
              <w:rPr>
                <w:sz w:val="20"/>
                <w:szCs w:val="18"/>
              </w:rPr>
            </w:pPr>
          </w:p>
        </w:tc>
        <w:tc>
          <w:tcPr>
            <w:tcW w:w="755" w:type="dxa"/>
            <w:vMerge/>
            <w:tcBorders>
              <w:bottom w:val="single" w:sz="8" w:space="0" w:color="auto"/>
            </w:tcBorders>
            <w:vAlign w:val="center"/>
          </w:tcPr>
          <w:p w:rsidR="00BC56A2" w:rsidRPr="00837D3D" w:rsidP="00837D3D" w14:paraId="198F4D72" w14:textId="77777777">
            <w:pPr>
              <w:rPr>
                <w:sz w:val="20"/>
                <w:szCs w:val="18"/>
              </w:rPr>
            </w:pPr>
          </w:p>
        </w:tc>
        <w:tc>
          <w:tcPr>
            <w:tcW w:w="999" w:type="dxa"/>
            <w:tcBorders>
              <w:bottom w:val="single" w:sz="8" w:space="0" w:color="auto"/>
            </w:tcBorders>
          </w:tcPr>
          <w:p w:rsidR="00BC56A2" w:rsidRPr="00837D3D" w:rsidP="00837D3D" w14:paraId="299ADA2B" w14:textId="77777777">
            <w:pPr>
              <w:rPr>
                <w:sz w:val="20"/>
                <w:szCs w:val="18"/>
              </w:rPr>
            </w:pPr>
            <w:r w:rsidRPr="00837D3D">
              <w:rPr>
                <w:sz w:val="20"/>
                <w:szCs w:val="18"/>
              </w:rPr>
              <w:t>n=30</w:t>
            </w:r>
          </w:p>
        </w:tc>
        <w:tc>
          <w:tcPr>
            <w:tcW w:w="837" w:type="dxa"/>
            <w:tcBorders>
              <w:bottom w:val="single" w:sz="8" w:space="0" w:color="auto"/>
            </w:tcBorders>
          </w:tcPr>
          <w:p w:rsidR="00BC56A2" w:rsidRPr="00837D3D" w:rsidP="00837D3D" w14:paraId="34B06F99" w14:textId="77777777">
            <w:pPr>
              <w:rPr>
                <w:sz w:val="20"/>
                <w:szCs w:val="18"/>
              </w:rPr>
            </w:pPr>
            <w:r w:rsidRPr="00837D3D">
              <w:rPr>
                <w:sz w:val="20"/>
                <w:szCs w:val="18"/>
              </w:rPr>
              <w:t>0.86</w:t>
            </w:r>
          </w:p>
        </w:tc>
        <w:tc>
          <w:tcPr>
            <w:tcW w:w="918" w:type="dxa"/>
            <w:tcBorders>
              <w:bottom w:val="single" w:sz="8" w:space="0" w:color="auto"/>
            </w:tcBorders>
          </w:tcPr>
          <w:p w:rsidR="00BC56A2" w:rsidRPr="00837D3D" w:rsidP="00837D3D" w14:paraId="6FB62176" w14:textId="77777777">
            <w:pPr>
              <w:rPr>
                <w:sz w:val="20"/>
                <w:szCs w:val="18"/>
              </w:rPr>
            </w:pPr>
            <w:r w:rsidRPr="00837D3D">
              <w:rPr>
                <w:sz w:val="20"/>
                <w:szCs w:val="18"/>
              </w:rPr>
              <w:t>0.92</w:t>
            </w:r>
          </w:p>
        </w:tc>
        <w:tc>
          <w:tcPr>
            <w:tcW w:w="3412" w:type="dxa"/>
            <w:tcBorders>
              <w:bottom w:val="single" w:sz="8" w:space="0" w:color="auto"/>
            </w:tcBorders>
          </w:tcPr>
          <w:p w:rsidR="00BC56A2" w:rsidRPr="00837D3D" w:rsidP="00837D3D" w14:paraId="392EA6C0" w14:textId="77777777">
            <w:pPr>
              <w:rPr>
                <w:sz w:val="20"/>
                <w:szCs w:val="18"/>
              </w:rPr>
            </w:pPr>
            <w:r w:rsidRPr="00837D3D">
              <w:rPr>
                <w:sz w:val="20"/>
                <w:szCs w:val="18"/>
              </w:rPr>
              <w:t>0.069% corresponding to P</w:t>
            </w:r>
            <w:r w:rsidRPr="00837D3D">
              <w:rPr>
                <w:sz w:val="20"/>
                <w:szCs w:val="18"/>
                <w:vertAlign w:val="subscript"/>
              </w:rPr>
              <w:t xml:space="preserve">pk </w:t>
            </w:r>
            <w:r w:rsidRPr="00837D3D">
              <w:rPr>
                <w:sz w:val="20"/>
                <w:szCs w:val="18"/>
              </w:rPr>
              <w:t>= 1.07</w:t>
            </w:r>
          </w:p>
        </w:tc>
      </w:tr>
      <w:tr w14:paraId="4E301C27" w14:textId="77777777" w:rsidTr="00837D3D">
        <w:tblPrEx>
          <w:tblW w:w="10142" w:type="dxa"/>
          <w:tblInd w:w="-432" w:type="dxa"/>
          <w:tblLayout w:type="fixed"/>
          <w:tblLook w:val="04A0"/>
        </w:tblPrEx>
        <w:trPr>
          <w:trHeight w:val="137"/>
        </w:trPr>
        <w:tc>
          <w:tcPr>
            <w:tcW w:w="2042" w:type="dxa"/>
            <w:vMerge w:val="restart"/>
            <w:tcBorders>
              <w:top w:val="single" w:sz="8" w:space="0" w:color="auto"/>
              <w:bottom w:val="single" w:sz="6" w:space="0" w:color="auto"/>
            </w:tcBorders>
            <w:vAlign w:val="center"/>
          </w:tcPr>
          <w:p w:rsidR="00BC56A2" w:rsidRPr="00837D3D" w:rsidP="00837D3D" w14:paraId="566992C5" w14:textId="77777777">
            <w:pPr>
              <w:rPr>
                <w:sz w:val="20"/>
                <w:szCs w:val="18"/>
                <w:vertAlign w:val="superscript"/>
              </w:rPr>
            </w:pPr>
            <w:r w:rsidRPr="00837D3D">
              <w:rPr>
                <w:sz w:val="20"/>
                <w:szCs w:val="18"/>
              </w:rPr>
              <w:t>CTS-S2</w:t>
            </w:r>
            <w:r w:rsidRPr="00837D3D">
              <w:rPr>
                <w:sz w:val="20"/>
                <w:szCs w:val="18"/>
                <w:vertAlign w:val="superscript"/>
              </w:rPr>
              <w:t>[1]</w:t>
            </w:r>
          </w:p>
          <w:p w:rsidR="00BC56A2" w:rsidRPr="00837D3D" w:rsidP="00837D3D" w14:paraId="440D7B45" w14:textId="77777777">
            <w:pPr>
              <w:rPr>
                <w:sz w:val="20"/>
                <w:szCs w:val="18"/>
                <w:vertAlign w:val="superscript"/>
              </w:rPr>
            </w:pPr>
            <w:r w:rsidRPr="00837D3D">
              <w:rPr>
                <w:sz w:val="20"/>
                <w:szCs w:val="18"/>
              </w:rPr>
              <w:t>CTQ-SEV8</w:t>
            </w:r>
            <w:r w:rsidRPr="00837D3D">
              <w:rPr>
                <w:sz w:val="20"/>
                <w:szCs w:val="18"/>
                <w:vertAlign w:val="superscript"/>
              </w:rPr>
              <w:t>[2]</w:t>
            </w:r>
          </w:p>
          <w:p w:rsidR="008D2154" w:rsidRPr="00837D3D" w:rsidP="00837D3D" w14:paraId="2B30698F" w14:textId="577DC45D">
            <w:pPr>
              <w:rPr>
                <w:sz w:val="20"/>
                <w:szCs w:val="18"/>
              </w:rPr>
            </w:pPr>
            <w:r w:rsidRPr="00837D3D">
              <w:rPr>
                <w:sz w:val="20"/>
                <w:szCs w:val="18"/>
              </w:rPr>
              <w:t>CTQ-S</w:t>
            </w:r>
          </w:p>
        </w:tc>
        <w:tc>
          <w:tcPr>
            <w:tcW w:w="1179" w:type="dxa"/>
            <w:vMerge w:val="restart"/>
            <w:tcBorders>
              <w:top w:val="single" w:sz="8" w:space="0" w:color="auto"/>
              <w:bottom w:val="single" w:sz="6" w:space="0" w:color="auto"/>
            </w:tcBorders>
            <w:vAlign w:val="center"/>
          </w:tcPr>
          <w:p w:rsidR="00BC56A2" w:rsidRPr="00837D3D" w:rsidP="00837D3D" w14:paraId="7B4E4C31" w14:textId="77777777">
            <w:pPr>
              <w:rPr>
                <w:sz w:val="20"/>
                <w:szCs w:val="18"/>
              </w:rPr>
            </w:pPr>
            <w:r w:rsidRPr="00837D3D">
              <w:rPr>
                <w:sz w:val="20"/>
                <w:szCs w:val="18"/>
              </w:rPr>
              <w:t>95%</w:t>
            </w:r>
          </w:p>
        </w:tc>
        <w:tc>
          <w:tcPr>
            <w:tcW w:w="755" w:type="dxa"/>
            <w:vMerge w:val="restart"/>
            <w:tcBorders>
              <w:top w:val="single" w:sz="8" w:space="0" w:color="auto"/>
              <w:bottom w:val="single" w:sz="6" w:space="0" w:color="auto"/>
            </w:tcBorders>
            <w:vAlign w:val="center"/>
          </w:tcPr>
          <w:p w:rsidR="00BC56A2" w:rsidRPr="00837D3D" w:rsidP="00837D3D" w14:paraId="05CDEB51" w14:textId="77777777">
            <w:pPr>
              <w:rPr>
                <w:sz w:val="20"/>
                <w:szCs w:val="18"/>
              </w:rPr>
            </w:pPr>
            <w:r w:rsidRPr="00837D3D">
              <w:rPr>
                <w:sz w:val="20"/>
                <w:szCs w:val="18"/>
              </w:rPr>
              <w:t>5%</w:t>
            </w:r>
          </w:p>
        </w:tc>
        <w:tc>
          <w:tcPr>
            <w:tcW w:w="999" w:type="dxa"/>
            <w:tcBorders>
              <w:top w:val="single" w:sz="8" w:space="0" w:color="auto"/>
              <w:bottom w:val="single" w:sz="6" w:space="0" w:color="auto"/>
            </w:tcBorders>
          </w:tcPr>
          <w:p w:rsidR="00BC56A2" w:rsidRPr="00837D3D" w:rsidP="00837D3D" w14:paraId="47C92B1D" w14:textId="77777777">
            <w:pPr>
              <w:rPr>
                <w:sz w:val="20"/>
                <w:szCs w:val="18"/>
              </w:rPr>
            </w:pPr>
            <w:r w:rsidRPr="00837D3D">
              <w:rPr>
                <w:sz w:val="20"/>
                <w:szCs w:val="18"/>
              </w:rPr>
              <w:t>n=15</w:t>
            </w:r>
          </w:p>
        </w:tc>
        <w:tc>
          <w:tcPr>
            <w:tcW w:w="837" w:type="dxa"/>
            <w:tcBorders>
              <w:top w:val="single" w:sz="8" w:space="0" w:color="auto"/>
              <w:bottom w:val="single" w:sz="6" w:space="0" w:color="auto"/>
            </w:tcBorders>
            <w:vAlign w:val="center"/>
          </w:tcPr>
          <w:p w:rsidR="00BC56A2" w:rsidRPr="00837D3D" w:rsidP="00837D3D" w14:paraId="0B87C337" w14:textId="77777777">
            <w:pPr>
              <w:rPr>
                <w:sz w:val="20"/>
                <w:szCs w:val="18"/>
              </w:rPr>
            </w:pPr>
            <w:r w:rsidRPr="00837D3D">
              <w:rPr>
                <w:sz w:val="20"/>
                <w:szCs w:val="18"/>
              </w:rPr>
              <w:t>0.87</w:t>
            </w:r>
          </w:p>
        </w:tc>
        <w:tc>
          <w:tcPr>
            <w:tcW w:w="918" w:type="dxa"/>
            <w:tcBorders>
              <w:top w:val="single" w:sz="8" w:space="0" w:color="auto"/>
              <w:bottom w:val="single" w:sz="6" w:space="0" w:color="auto"/>
            </w:tcBorders>
            <w:vAlign w:val="center"/>
          </w:tcPr>
          <w:p w:rsidR="00BC56A2" w:rsidRPr="00837D3D" w:rsidP="00837D3D" w14:paraId="7258D9FD" w14:textId="77777777">
            <w:pPr>
              <w:rPr>
                <w:sz w:val="20"/>
                <w:szCs w:val="18"/>
              </w:rPr>
            </w:pPr>
            <w:r w:rsidRPr="00837D3D">
              <w:rPr>
                <w:sz w:val="20"/>
                <w:szCs w:val="18"/>
              </w:rPr>
              <w:t>0.91</w:t>
            </w:r>
          </w:p>
        </w:tc>
        <w:tc>
          <w:tcPr>
            <w:tcW w:w="3412" w:type="dxa"/>
            <w:tcBorders>
              <w:top w:val="single" w:sz="8" w:space="0" w:color="auto"/>
              <w:bottom w:val="single" w:sz="6" w:space="0" w:color="auto"/>
            </w:tcBorders>
            <w:vAlign w:val="center"/>
          </w:tcPr>
          <w:p w:rsidR="00BC56A2" w:rsidRPr="00837D3D" w:rsidP="00837D3D" w14:paraId="55AFA3EA" w14:textId="77777777">
            <w:pPr>
              <w:rPr>
                <w:sz w:val="20"/>
                <w:szCs w:val="18"/>
              </w:rPr>
            </w:pPr>
            <w:r w:rsidRPr="00837D3D">
              <w:rPr>
                <w:sz w:val="20"/>
                <w:szCs w:val="18"/>
              </w:rPr>
              <w:t>0.024% corresponding to P</w:t>
            </w:r>
            <w:r w:rsidRPr="00837D3D">
              <w:rPr>
                <w:sz w:val="20"/>
                <w:szCs w:val="18"/>
                <w:vertAlign w:val="subscript"/>
              </w:rPr>
              <w:t xml:space="preserve">pk </w:t>
            </w:r>
            <w:r w:rsidRPr="00837D3D">
              <w:rPr>
                <w:sz w:val="20"/>
                <w:szCs w:val="18"/>
              </w:rPr>
              <w:t>= 1.16</w:t>
            </w:r>
          </w:p>
        </w:tc>
      </w:tr>
      <w:tr w14:paraId="06BBED44" w14:textId="77777777" w:rsidTr="00837D3D">
        <w:tblPrEx>
          <w:tblW w:w="10142" w:type="dxa"/>
          <w:tblInd w:w="-432" w:type="dxa"/>
          <w:tblLayout w:type="fixed"/>
          <w:tblLook w:val="04A0"/>
        </w:tblPrEx>
        <w:trPr>
          <w:trHeight w:val="137"/>
        </w:trPr>
        <w:tc>
          <w:tcPr>
            <w:tcW w:w="2042" w:type="dxa"/>
            <w:vMerge/>
            <w:tcBorders>
              <w:top w:val="single" w:sz="6" w:space="0" w:color="auto"/>
              <w:bottom w:val="single" w:sz="6" w:space="0" w:color="auto"/>
            </w:tcBorders>
            <w:vAlign w:val="center"/>
          </w:tcPr>
          <w:p w:rsidR="00BC56A2" w:rsidRPr="00837D3D" w:rsidP="00837D3D" w14:paraId="26B4DD56" w14:textId="77777777">
            <w:pPr>
              <w:rPr>
                <w:sz w:val="20"/>
                <w:szCs w:val="18"/>
              </w:rPr>
            </w:pPr>
          </w:p>
        </w:tc>
        <w:tc>
          <w:tcPr>
            <w:tcW w:w="1179" w:type="dxa"/>
            <w:vMerge/>
            <w:tcBorders>
              <w:top w:val="single" w:sz="6" w:space="0" w:color="auto"/>
              <w:bottom w:val="single" w:sz="6" w:space="0" w:color="auto"/>
            </w:tcBorders>
            <w:vAlign w:val="center"/>
          </w:tcPr>
          <w:p w:rsidR="00BC56A2" w:rsidRPr="00837D3D" w:rsidP="00837D3D" w14:paraId="039BE591" w14:textId="77777777">
            <w:pPr>
              <w:rPr>
                <w:sz w:val="20"/>
                <w:szCs w:val="18"/>
              </w:rPr>
            </w:pPr>
          </w:p>
        </w:tc>
        <w:tc>
          <w:tcPr>
            <w:tcW w:w="755" w:type="dxa"/>
            <w:vMerge/>
            <w:tcBorders>
              <w:top w:val="single" w:sz="6" w:space="0" w:color="auto"/>
              <w:bottom w:val="single" w:sz="6" w:space="0" w:color="auto"/>
            </w:tcBorders>
            <w:vAlign w:val="center"/>
          </w:tcPr>
          <w:p w:rsidR="00BC56A2" w:rsidRPr="00837D3D" w:rsidP="00837D3D" w14:paraId="0EC29D6E" w14:textId="77777777">
            <w:pPr>
              <w:rPr>
                <w:sz w:val="20"/>
                <w:szCs w:val="18"/>
              </w:rPr>
            </w:pPr>
          </w:p>
        </w:tc>
        <w:tc>
          <w:tcPr>
            <w:tcW w:w="999" w:type="dxa"/>
            <w:tcBorders>
              <w:top w:val="single" w:sz="6" w:space="0" w:color="auto"/>
              <w:bottom w:val="single" w:sz="6" w:space="0" w:color="auto"/>
            </w:tcBorders>
          </w:tcPr>
          <w:p w:rsidR="00BC56A2" w:rsidRPr="00837D3D" w:rsidP="00837D3D" w14:paraId="5B1E4FD0" w14:textId="77777777">
            <w:pPr>
              <w:rPr>
                <w:sz w:val="20"/>
                <w:szCs w:val="18"/>
              </w:rPr>
            </w:pPr>
            <w:r w:rsidRPr="00837D3D">
              <w:rPr>
                <w:sz w:val="20"/>
                <w:szCs w:val="18"/>
              </w:rPr>
              <w:t>n=20</w:t>
            </w:r>
          </w:p>
        </w:tc>
        <w:tc>
          <w:tcPr>
            <w:tcW w:w="837" w:type="dxa"/>
            <w:tcBorders>
              <w:top w:val="single" w:sz="6" w:space="0" w:color="auto"/>
              <w:bottom w:val="single" w:sz="6" w:space="0" w:color="auto"/>
            </w:tcBorders>
            <w:vAlign w:val="center"/>
          </w:tcPr>
          <w:p w:rsidR="00BC56A2" w:rsidRPr="00837D3D" w:rsidP="00837D3D" w14:paraId="34E8CA03" w14:textId="77777777">
            <w:pPr>
              <w:rPr>
                <w:sz w:val="20"/>
                <w:szCs w:val="18"/>
              </w:rPr>
            </w:pPr>
            <w:r w:rsidRPr="00837D3D">
              <w:rPr>
                <w:sz w:val="20"/>
                <w:szCs w:val="18"/>
              </w:rPr>
              <w:t>0.82</w:t>
            </w:r>
          </w:p>
        </w:tc>
        <w:tc>
          <w:tcPr>
            <w:tcW w:w="918" w:type="dxa"/>
            <w:tcBorders>
              <w:top w:val="single" w:sz="6" w:space="0" w:color="auto"/>
              <w:bottom w:val="single" w:sz="6" w:space="0" w:color="auto"/>
            </w:tcBorders>
            <w:vAlign w:val="center"/>
          </w:tcPr>
          <w:p w:rsidR="00BC56A2" w:rsidRPr="00837D3D" w:rsidP="00837D3D" w14:paraId="619A9AB2" w14:textId="77777777">
            <w:pPr>
              <w:rPr>
                <w:sz w:val="20"/>
                <w:szCs w:val="18"/>
              </w:rPr>
            </w:pPr>
            <w:r w:rsidRPr="00837D3D">
              <w:rPr>
                <w:sz w:val="20"/>
                <w:szCs w:val="18"/>
              </w:rPr>
              <w:t>0.87</w:t>
            </w:r>
          </w:p>
        </w:tc>
        <w:tc>
          <w:tcPr>
            <w:tcW w:w="3412" w:type="dxa"/>
            <w:tcBorders>
              <w:top w:val="single" w:sz="6" w:space="0" w:color="auto"/>
              <w:bottom w:val="single" w:sz="6" w:space="0" w:color="auto"/>
            </w:tcBorders>
            <w:vAlign w:val="center"/>
          </w:tcPr>
          <w:p w:rsidR="00BC56A2" w:rsidRPr="00837D3D" w:rsidP="00837D3D" w14:paraId="032D950E" w14:textId="77777777">
            <w:pPr>
              <w:rPr>
                <w:sz w:val="20"/>
                <w:szCs w:val="18"/>
              </w:rPr>
            </w:pPr>
            <w:r w:rsidRPr="00837D3D">
              <w:rPr>
                <w:sz w:val="20"/>
                <w:szCs w:val="18"/>
              </w:rPr>
              <w:t>0.071% corresponding to P</w:t>
            </w:r>
            <w:r w:rsidRPr="00837D3D">
              <w:rPr>
                <w:sz w:val="20"/>
                <w:szCs w:val="18"/>
                <w:vertAlign w:val="subscript"/>
              </w:rPr>
              <w:t xml:space="preserve">pk </w:t>
            </w:r>
            <w:r w:rsidRPr="00837D3D">
              <w:rPr>
                <w:sz w:val="20"/>
                <w:szCs w:val="18"/>
              </w:rPr>
              <w:t>= 1.06</w:t>
            </w:r>
          </w:p>
        </w:tc>
      </w:tr>
      <w:tr w14:paraId="406F18FE" w14:textId="77777777" w:rsidTr="00837D3D">
        <w:tblPrEx>
          <w:tblW w:w="10142" w:type="dxa"/>
          <w:tblInd w:w="-432" w:type="dxa"/>
          <w:tblLayout w:type="fixed"/>
          <w:tblLook w:val="04A0"/>
        </w:tblPrEx>
        <w:trPr>
          <w:trHeight w:val="137"/>
        </w:trPr>
        <w:tc>
          <w:tcPr>
            <w:tcW w:w="2042" w:type="dxa"/>
            <w:vMerge/>
            <w:tcBorders>
              <w:top w:val="single" w:sz="6" w:space="0" w:color="auto"/>
              <w:bottom w:val="single" w:sz="8" w:space="0" w:color="auto"/>
            </w:tcBorders>
            <w:vAlign w:val="center"/>
          </w:tcPr>
          <w:p w:rsidR="00BC56A2" w:rsidRPr="00837D3D" w:rsidP="00837D3D" w14:paraId="7289FF80" w14:textId="77777777">
            <w:pPr>
              <w:rPr>
                <w:sz w:val="20"/>
                <w:szCs w:val="18"/>
              </w:rPr>
            </w:pPr>
          </w:p>
        </w:tc>
        <w:tc>
          <w:tcPr>
            <w:tcW w:w="1179" w:type="dxa"/>
            <w:vMerge/>
            <w:tcBorders>
              <w:top w:val="single" w:sz="6" w:space="0" w:color="auto"/>
              <w:bottom w:val="single" w:sz="8" w:space="0" w:color="auto"/>
            </w:tcBorders>
            <w:vAlign w:val="center"/>
          </w:tcPr>
          <w:p w:rsidR="00BC56A2" w:rsidRPr="00837D3D" w:rsidP="00837D3D" w14:paraId="331BD25E" w14:textId="77777777">
            <w:pPr>
              <w:rPr>
                <w:sz w:val="20"/>
                <w:szCs w:val="18"/>
              </w:rPr>
            </w:pPr>
          </w:p>
        </w:tc>
        <w:tc>
          <w:tcPr>
            <w:tcW w:w="755" w:type="dxa"/>
            <w:vMerge/>
            <w:tcBorders>
              <w:top w:val="single" w:sz="6" w:space="0" w:color="auto"/>
              <w:bottom w:val="single" w:sz="8" w:space="0" w:color="auto"/>
            </w:tcBorders>
            <w:vAlign w:val="center"/>
          </w:tcPr>
          <w:p w:rsidR="00BC56A2" w:rsidRPr="00837D3D" w:rsidP="00837D3D" w14:paraId="4D623B09" w14:textId="77777777">
            <w:pPr>
              <w:rPr>
                <w:sz w:val="20"/>
                <w:szCs w:val="18"/>
              </w:rPr>
            </w:pPr>
          </w:p>
        </w:tc>
        <w:tc>
          <w:tcPr>
            <w:tcW w:w="999" w:type="dxa"/>
            <w:tcBorders>
              <w:top w:val="single" w:sz="6" w:space="0" w:color="auto"/>
              <w:bottom w:val="single" w:sz="8" w:space="0" w:color="auto"/>
            </w:tcBorders>
          </w:tcPr>
          <w:p w:rsidR="00BC56A2" w:rsidRPr="00837D3D" w:rsidP="00837D3D" w14:paraId="4C7FAEC5" w14:textId="77777777">
            <w:pPr>
              <w:rPr>
                <w:sz w:val="20"/>
                <w:szCs w:val="18"/>
              </w:rPr>
            </w:pPr>
            <w:r w:rsidRPr="00837D3D">
              <w:rPr>
                <w:sz w:val="20"/>
                <w:szCs w:val="18"/>
              </w:rPr>
              <w:t>n=30</w:t>
            </w:r>
          </w:p>
        </w:tc>
        <w:tc>
          <w:tcPr>
            <w:tcW w:w="837" w:type="dxa"/>
            <w:tcBorders>
              <w:top w:val="single" w:sz="6" w:space="0" w:color="auto"/>
              <w:bottom w:val="single" w:sz="8" w:space="0" w:color="auto"/>
            </w:tcBorders>
            <w:vAlign w:val="center"/>
          </w:tcPr>
          <w:p w:rsidR="00BC56A2" w:rsidRPr="00837D3D" w:rsidP="00837D3D" w14:paraId="5960A7FD" w14:textId="77777777">
            <w:pPr>
              <w:rPr>
                <w:sz w:val="20"/>
                <w:szCs w:val="18"/>
              </w:rPr>
            </w:pPr>
            <w:r w:rsidRPr="00837D3D">
              <w:rPr>
                <w:sz w:val="20"/>
                <w:szCs w:val="18"/>
              </w:rPr>
              <w:t>0.76</w:t>
            </w:r>
          </w:p>
        </w:tc>
        <w:tc>
          <w:tcPr>
            <w:tcW w:w="918" w:type="dxa"/>
            <w:tcBorders>
              <w:top w:val="single" w:sz="6" w:space="0" w:color="auto"/>
              <w:bottom w:val="single" w:sz="8" w:space="0" w:color="auto"/>
            </w:tcBorders>
            <w:vAlign w:val="center"/>
          </w:tcPr>
          <w:p w:rsidR="00BC56A2" w:rsidRPr="00837D3D" w:rsidP="00837D3D" w14:paraId="6C196861" w14:textId="77777777">
            <w:pPr>
              <w:rPr>
                <w:sz w:val="20"/>
                <w:szCs w:val="18"/>
              </w:rPr>
            </w:pPr>
            <w:r w:rsidRPr="00837D3D">
              <w:rPr>
                <w:sz w:val="20"/>
                <w:szCs w:val="18"/>
              </w:rPr>
              <w:t>0.83</w:t>
            </w:r>
          </w:p>
        </w:tc>
        <w:tc>
          <w:tcPr>
            <w:tcW w:w="3412" w:type="dxa"/>
            <w:tcBorders>
              <w:top w:val="single" w:sz="6" w:space="0" w:color="auto"/>
              <w:bottom w:val="single" w:sz="8" w:space="0" w:color="auto"/>
            </w:tcBorders>
            <w:vAlign w:val="center"/>
          </w:tcPr>
          <w:p w:rsidR="00BC56A2" w:rsidRPr="00837D3D" w:rsidP="00837D3D" w14:paraId="25C6386B" w14:textId="77777777">
            <w:pPr>
              <w:rPr>
                <w:sz w:val="20"/>
                <w:szCs w:val="18"/>
              </w:rPr>
            </w:pPr>
            <w:r w:rsidRPr="00837D3D">
              <w:rPr>
                <w:sz w:val="20"/>
                <w:szCs w:val="18"/>
              </w:rPr>
              <w:t>0.22% corresponding to P</w:t>
            </w:r>
            <w:r w:rsidRPr="00837D3D">
              <w:rPr>
                <w:sz w:val="20"/>
                <w:szCs w:val="18"/>
                <w:vertAlign w:val="subscript"/>
              </w:rPr>
              <w:t xml:space="preserve">pk </w:t>
            </w:r>
            <w:r w:rsidRPr="00837D3D">
              <w:rPr>
                <w:sz w:val="20"/>
                <w:szCs w:val="18"/>
              </w:rPr>
              <w:t>= 0.95</w:t>
            </w:r>
          </w:p>
        </w:tc>
      </w:tr>
      <w:tr w14:paraId="66F37300" w14:textId="77777777" w:rsidTr="00837D3D">
        <w:tblPrEx>
          <w:tblW w:w="10142" w:type="dxa"/>
          <w:tblInd w:w="-432" w:type="dxa"/>
          <w:tblLayout w:type="fixed"/>
          <w:tblLook w:val="04A0"/>
        </w:tblPrEx>
        <w:trPr>
          <w:trHeight w:val="81"/>
        </w:trPr>
        <w:tc>
          <w:tcPr>
            <w:tcW w:w="2042" w:type="dxa"/>
            <w:vMerge w:val="restart"/>
            <w:tcBorders>
              <w:top w:val="single" w:sz="8" w:space="0" w:color="auto"/>
              <w:bottom w:val="single" w:sz="6" w:space="0" w:color="auto"/>
            </w:tcBorders>
            <w:vAlign w:val="center"/>
          </w:tcPr>
          <w:p w:rsidR="00BC56A2" w:rsidRPr="00837D3D" w:rsidP="00837D3D" w14:paraId="011EA3FD" w14:textId="77777777">
            <w:pPr>
              <w:rPr>
                <w:sz w:val="20"/>
                <w:szCs w:val="18"/>
                <w:vertAlign w:val="superscript"/>
              </w:rPr>
            </w:pPr>
            <w:r w:rsidRPr="00837D3D">
              <w:rPr>
                <w:sz w:val="20"/>
                <w:szCs w:val="18"/>
              </w:rPr>
              <w:t>CTQ-SEV5</w:t>
            </w:r>
            <w:r w:rsidRPr="00837D3D">
              <w:rPr>
                <w:sz w:val="20"/>
                <w:szCs w:val="18"/>
                <w:vertAlign w:val="superscript"/>
              </w:rPr>
              <w:t>[2]</w:t>
            </w:r>
          </w:p>
        </w:tc>
        <w:tc>
          <w:tcPr>
            <w:tcW w:w="1179" w:type="dxa"/>
            <w:vMerge w:val="restart"/>
            <w:tcBorders>
              <w:top w:val="single" w:sz="8" w:space="0" w:color="auto"/>
              <w:bottom w:val="single" w:sz="6" w:space="0" w:color="auto"/>
            </w:tcBorders>
            <w:vAlign w:val="center"/>
          </w:tcPr>
          <w:p w:rsidR="00BC56A2" w:rsidRPr="00837D3D" w:rsidP="00837D3D" w14:paraId="0F85E0FA" w14:textId="77777777">
            <w:pPr>
              <w:rPr>
                <w:sz w:val="20"/>
                <w:szCs w:val="18"/>
              </w:rPr>
            </w:pPr>
            <w:r w:rsidRPr="00837D3D">
              <w:rPr>
                <w:sz w:val="20"/>
                <w:szCs w:val="18"/>
              </w:rPr>
              <w:t>93.5%</w:t>
            </w:r>
          </w:p>
        </w:tc>
        <w:tc>
          <w:tcPr>
            <w:tcW w:w="755" w:type="dxa"/>
            <w:vMerge w:val="restart"/>
            <w:tcBorders>
              <w:top w:val="single" w:sz="8" w:space="0" w:color="auto"/>
              <w:bottom w:val="single" w:sz="6" w:space="0" w:color="auto"/>
            </w:tcBorders>
            <w:vAlign w:val="center"/>
          </w:tcPr>
          <w:p w:rsidR="00BC56A2" w:rsidRPr="00837D3D" w:rsidP="00837D3D" w14:paraId="1E1495EA" w14:textId="77777777">
            <w:pPr>
              <w:rPr>
                <w:sz w:val="20"/>
                <w:szCs w:val="18"/>
              </w:rPr>
            </w:pPr>
            <w:r w:rsidRPr="00837D3D">
              <w:rPr>
                <w:sz w:val="20"/>
                <w:szCs w:val="18"/>
              </w:rPr>
              <w:t>6.5%</w:t>
            </w:r>
          </w:p>
        </w:tc>
        <w:tc>
          <w:tcPr>
            <w:tcW w:w="999" w:type="dxa"/>
            <w:tcBorders>
              <w:top w:val="single" w:sz="8" w:space="0" w:color="auto"/>
              <w:bottom w:val="single" w:sz="6" w:space="0" w:color="auto"/>
            </w:tcBorders>
          </w:tcPr>
          <w:p w:rsidR="00BC56A2" w:rsidRPr="00837D3D" w:rsidP="00837D3D" w14:paraId="16C7EEBD" w14:textId="77777777">
            <w:pPr>
              <w:rPr>
                <w:sz w:val="20"/>
                <w:szCs w:val="18"/>
              </w:rPr>
            </w:pPr>
            <w:r w:rsidRPr="00837D3D">
              <w:rPr>
                <w:sz w:val="20"/>
                <w:szCs w:val="18"/>
              </w:rPr>
              <w:t>n=15</w:t>
            </w:r>
          </w:p>
        </w:tc>
        <w:tc>
          <w:tcPr>
            <w:tcW w:w="837" w:type="dxa"/>
            <w:tcBorders>
              <w:top w:val="single" w:sz="8" w:space="0" w:color="auto"/>
              <w:bottom w:val="single" w:sz="6" w:space="0" w:color="auto"/>
            </w:tcBorders>
            <w:vAlign w:val="center"/>
          </w:tcPr>
          <w:p w:rsidR="00BC56A2" w:rsidRPr="00837D3D" w:rsidP="00837D3D" w14:paraId="0F1E97C0" w14:textId="77777777">
            <w:pPr>
              <w:rPr>
                <w:sz w:val="20"/>
                <w:szCs w:val="18"/>
              </w:rPr>
            </w:pPr>
            <w:r w:rsidRPr="00837D3D">
              <w:rPr>
                <w:sz w:val="20"/>
                <w:szCs w:val="18"/>
              </w:rPr>
              <w:t>0.81</w:t>
            </w:r>
          </w:p>
        </w:tc>
        <w:tc>
          <w:tcPr>
            <w:tcW w:w="918" w:type="dxa"/>
            <w:tcBorders>
              <w:top w:val="single" w:sz="8" w:space="0" w:color="auto"/>
              <w:bottom w:val="single" w:sz="6" w:space="0" w:color="auto"/>
            </w:tcBorders>
            <w:vAlign w:val="center"/>
          </w:tcPr>
          <w:p w:rsidR="00BC56A2" w:rsidRPr="00837D3D" w:rsidP="00837D3D" w14:paraId="23B05CBB" w14:textId="77777777">
            <w:pPr>
              <w:rPr>
                <w:sz w:val="20"/>
                <w:szCs w:val="18"/>
              </w:rPr>
            </w:pPr>
            <w:r w:rsidRPr="00837D3D">
              <w:rPr>
                <w:sz w:val="20"/>
                <w:szCs w:val="18"/>
              </w:rPr>
              <w:t>0.86</w:t>
            </w:r>
          </w:p>
        </w:tc>
        <w:tc>
          <w:tcPr>
            <w:tcW w:w="3412" w:type="dxa"/>
            <w:tcBorders>
              <w:top w:val="single" w:sz="8" w:space="0" w:color="auto"/>
              <w:bottom w:val="single" w:sz="6" w:space="0" w:color="auto"/>
            </w:tcBorders>
            <w:vAlign w:val="center"/>
          </w:tcPr>
          <w:p w:rsidR="00BC56A2" w:rsidRPr="00837D3D" w:rsidP="00837D3D" w14:paraId="3FE24810" w14:textId="77777777">
            <w:pPr>
              <w:rPr>
                <w:sz w:val="20"/>
                <w:szCs w:val="18"/>
              </w:rPr>
            </w:pPr>
            <w:r w:rsidRPr="00837D3D">
              <w:rPr>
                <w:sz w:val="20"/>
                <w:szCs w:val="18"/>
              </w:rPr>
              <w:t>0.054% corresponding to P</w:t>
            </w:r>
            <w:r w:rsidRPr="00837D3D">
              <w:rPr>
                <w:sz w:val="20"/>
                <w:szCs w:val="18"/>
                <w:vertAlign w:val="subscript"/>
              </w:rPr>
              <w:t xml:space="preserve">pk </w:t>
            </w:r>
            <w:r w:rsidRPr="00837D3D">
              <w:rPr>
                <w:sz w:val="20"/>
                <w:szCs w:val="18"/>
              </w:rPr>
              <w:t>= 1.09</w:t>
            </w:r>
          </w:p>
        </w:tc>
      </w:tr>
      <w:tr w14:paraId="1F24B149" w14:textId="77777777" w:rsidTr="00837D3D">
        <w:tblPrEx>
          <w:tblW w:w="10142" w:type="dxa"/>
          <w:tblInd w:w="-432" w:type="dxa"/>
          <w:tblLayout w:type="fixed"/>
          <w:tblLook w:val="04A0"/>
        </w:tblPrEx>
        <w:trPr>
          <w:trHeight w:val="81"/>
        </w:trPr>
        <w:tc>
          <w:tcPr>
            <w:tcW w:w="2042" w:type="dxa"/>
            <w:vMerge/>
            <w:tcBorders>
              <w:top w:val="single" w:sz="6" w:space="0" w:color="auto"/>
              <w:bottom w:val="single" w:sz="6" w:space="0" w:color="auto"/>
            </w:tcBorders>
            <w:vAlign w:val="center"/>
          </w:tcPr>
          <w:p w:rsidR="00BC56A2" w:rsidRPr="00837D3D" w:rsidP="00837D3D" w14:paraId="248FBFC9" w14:textId="77777777">
            <w:pPr>
              <w:rPr>
                <w:sz w:val="20"/>
                <w:szCs w:val="18"/>
              </w:rPr>
            </w:pPr>
          </w:p>
        </w:tc>
        <w:tc>
          <w:tcPr>
            <w:tcW w:w="1179" w:type="dxa"/>
            <w:vMerge/>
            <w:tcBorders>
              <w:top w:val="single" w:sz="6" w:space="0" w:color="auto"/>
              <w:bottom w:val="single" w:sz="6" w:space="0" w:color="auto"/>
            </w:tcBorders>
            <w:vAlign w:val="center"/>
          </w:tcPr>
          <w:p w:rsidR="00BC56A2" w:rsidRPr="00837D3D" w:rsidP="00837D3D" w14:paraId="39BD545E" w14:textId="77777777">
            <w:pPr>
              <w:rPr>
                <w:sz w:val="20"/>
                <w:szCs w:val="18"/>
              </w:rPr>
            </w:pPr>
          </w:p>
        </w:tc>
        <w:tc>
          <w:tcPr>
            <w:tcW w:w="755" w:type="dxa"/>
            <w:vMerge/>
            <w:tcBorders>
              <w:top w:val="single" w:sz="6" w:space="0" w:color="auto"/>
              <w:bottom w:val="single" w:sz="6" w:space="0" w:color="auto"/>
            </w:tcBorders>
            <w:vAlign w:val="center"/>
          </w:tcPr>
          <w:p w:rsidR="00BC56A2" w:rsidRPr="00837D3D" w:rsidP="00837D3D" w14:paraId="2F5A6587" w14:textId="77777777">
            <w:pPr>
              <w:rPr>
                <w:sz w:val="20"/>
                <w:szCs w:val="18"/>
              </w:rPr>
            </w:pPr>
          </w:p>
        </w:tc>
        <w:tc>
          <w:tcPr>
            <w:tcW w:w="999" w:type="dxa"/>
            <w:tcBorders>
              <w:top w:val="single" w:sz="6" w:space="0" w:color="auto"/>
              <w:bottom w:val="single" w:sz="6" w:space="0" w:color="auto"/>
            </w:tcBorders>
          </w:tcPr>
          <w:p w:rsidR="00BC56A2" w:rsidRPr="00837D3D" w:rsidP="00837D3D" w14:paraId="39F5BB8B" w14:textId="77777777">
            <w:pPr>
              <w:rPr>
                <w:sz w:val="20"/>
                <w:szCs w:val="18"/>
              </w:rPr>
            </w:pPr>
            <w:r w:rsidRPr="00837D3D">
              <w:rPr>
                <w:sz w:val="20"/>
                <w:szCs w:val="18"/>
              </w:rPr>
              <w:t>n=20</w:t>
            </w:r>
          </w:p>
        </w:tc>
        <w:tc>
          <w:tcPr>
            <w:tcW w:w="837" w:type="dxa"/>
            <w:tcBorders>
              <w:top w:val="single" w:sz="6" w:space="0" w:color="auto"/>
              <w:bottom w:val="single" w:sz="6" w:space="0" w:color="auto"/>
            </w:tcBorders>
            <w:vAlign w:val="center"/>
          </w:tcPr>
          <w:p w:rsidR="00BC56A2" w:rsidRPr="00837D3D" w:rsidP="00837D3D" w14:paraId="2328929F" w14:textId="77777777">
            <w:pPr>
              <w:rPr>
                <w:sz w:val="20"/>
                <w:szCs w:val="18"/>
              </w:rPr>
            </w:pPr>
            <w:r w:rsidRPr="00837D3D">
              <w:rPr>
                <w:sz w:val="20"/>
                <w:szCs w:val="18"/>
              </w:rPr>
              <w:t>0.76</w:t>
            </w:r>
          </w:p>
        </w:tc>
        <w:tc>
          <w:tcPr>
            <w:tcW w:w="918" w:type="dxa"/>
            <w:tcBorders>
              <w:top w:val="single" w:sz="6" w:space="0" w:color="auto"/>
              <w:bottom w:val="single" w:sz="6" w:space="0" w:color="auto"/>
            </w:tcBorders>
            <w:vAlign w:val="center"/>
          </w:tcPr>
          <w:p w:rsidR="00BC56A2" w:rsidRPr="00837D3D" w:rsidP="00837D3D" w14:paraId="668DB068" w14:textId="77777777">
            <w:pPr>
              <w:rPr>
                <w:sz w:val="20"/>
                <w:szCs w:val="18"/>
              </w:rPr>
            </w:pPr>
            <w:r w:rsidRPr="00837D3D">
              <w:rPr>
                <w:sz w:val="20"/>
                <w:szCs w:val="18"/>
              </w:rPr>
              <w:t>0.82</w:t>
            </w:r>
          </w:p>
        </w:tc>
        <w:tc>
          <w:tcPr>
            <w:tcW w:w="3412" w:type="dxa"/>
            <w:tcBorders>
              <w:top w:val="single" w:sz="6" w:space="0" w:color="auto"/>
              <w:bottom w:val="single" w:sz="6" w:space="0" w:color="auto"/>
            </w:tcBorders>
            <w:vAlign w:val="center"/>
          </w:tcPr>
          <w:p w:rsidR="00BC56A2" w:rsidRPr="00837D3D" w:rsidP="00837D3D" w14:paraId="64B56D08" w14:textId="77777777">
            <w:pPr>
              <w:rPr>
                <w:sz w:val="20"/>
                <w:szCs w:val="18"/>
              </w:rPr>
            </w:pPr>
            <w:r w:rsidRPr="00837D3D">
              <w:rPr>
                <w:sz w:val="20"/>
                <w:szCs w:val="18"/>
              </w:rPr>
              <w:t>0.15% corresponding to P</w:t>
            </w:r>
            <w:r w:rsidRPr="00837D3D">
              <w:rPr>
                <w:sz w:val="20"/>
                <w:szCs w:val="18"/>
                <w:vertAlign w:val="subscript"/>
              </w:rPr>
              <w:t xml:space="preserve">pk </w:t>
            </w:r>
            <w:r w:rsidRPr="00837D3D">
              <w:rPr>
                <w:sz w:val="20"/>
                <w:szCs w:val="18"/>
              </w:rPr>
              <w:t>= 0.99</w:t>
            </w:r>
          </w:p>
        </w:tc>
      </w:tr>
      <w:tr w14:paraId="58396669" w14:textId="77777777" w:rsidTr="00837D3D">
        <w:tblPrEx>
          <w:tblW w:w="10142" w:type="dxa"/>
          <w:tblInd w:w="-432" w:type="dxa"/>
          <w:tblLayout w:type="fixed"/>
          <w:tblLook w:val="04A0"/>
        </w:tblPrEx>
        <w:trPr>
          <w:trHeight w:val="81"/>
        </w:trPr>
        <w:tc>
          <w:tcPr>
            <w:tcW w:w="2042" w:type="dxa"/>
            <w:vMerge/>
            <w:tcBorders>
              <w:top w:val="single" w:sz="6" w:space="0" w:color="auto"/>
              <w:bottom w:val="single" w:sz="8" w:space="0" w:color="auto"/>
            </w:tcBorders>
            <w:vAlign w:val="center"/>
          </w:tcPr>
          <w:p w:rsidR="00BC56A2" w:rsidRPr="00837D3D" w:rsidP="00837D3D" w14:paraId="5DB20E24" w14:textId="77777777">
            <w:pPr>
              <w:rPr>
                <w:sz w:val="20"/>
                <w:szCs w:val="18"/>
              </w:rPr>
            </w:pPr>
          </w:p>
        </w:tc>
        <w:tc>
          <w:tcPr>
            <w:tcW w:w="1179" w:type="dxa"/>
            <w:vMerge/>
            <w:tcBorders>
              <w:top w:val="single" w:sz="6" w:space="0" w:color="auto"/>
              <w:bottom w:val="single" w:sz="8" w:space="0" w:color="auto"/>
            </w:tcBorders>
            <w:vAlign w:val="center"/>
          </w:tcPr>
          <w:p w:rsidR="00BC56A2" w:rsidRPr="00837D3D" w:rsidP="00837D3D" w14:paraId="12D56601" w14:textId="77777777">
            <w:pPr>
              <w:rPr>
                <w:sz w:val="20"/>
                <w:szCs w:val="18"/>
              </w:rPr>
            </w:pPr>
          </w:p>
        </w:tc>
        <w:tc>
          <w:tcPr>
            <w:tcW w:w="755" w:type="dxa"/>
            <w:vMerge/>
            <w:tcBorders>
              <w:top w:val="single" w:sz="6" w:space="0" w:color="auto"/>
              <w:bottom w:val="single" w:sz="8" w:space="0" w:color="auto"/>
            </w:tcBorders>
            <w:vAlign w:val="center"/>
          </w:tcPr>
          <w:p w:rsidR="00BC56A2" w:rsidRPr="00837D3D" w:rsidP="00837D3D" w14:paraId="1FB6EF8F" w14:textId="77777777">
            <w:pPr>
              <w:rPr>
                <w:sz w:val="20"/>
                <w:szCs w:val="18"/>
              </w:rPr>
            </w:pPr>
          </w:p>
        </w:tc>
        <w:tc>
          <w:tcPr>
            <w:tcW w:w="999" w:type="dxa"/>
            <w:tcBorders>
              <w:top w:val="single" w:sz="6" w:space="0" w:color="auto"/>
              <w:bottom w:val="single" w:sz="8" w:space="0" w:color="auto"/>
            </w:tcBorders>
          </w:tcPr>
          <w:p w:rsidR="00BC56A2" w:rsidRPr="00837D3D" w:rsidP="00837D3D" w14:paraId="48110775" w14:textId="77777777">
            <w:pPr>
              <w:rPr>
                <w:sz w:val="20"/>
                <w:szCs w:val="18"/>
              </w:rPr>
            </w:pPr>
            <w:r w:rsidRPr="00837D3D">
              <w:rPr>
                <w:sz w:val="20"/>
                <w:szCs w:val="18"/>
              </w:rPr>
              <w:t>n=30</w:t>
            </w:r>
          </w:p>
        </w:tc>
        <w:tc>
          <w:tcPr>
            <w:tcW w:w="837" w:type="dxa"/>
            <w:tcBorders>
              <w:top w:val="single" w:sz="6" w:space="0" w:color="auto"/>
              <w:bottom w:val="single" w:sz="8" w:space="0" w:color="auto"/>
            </w:tcBorders>
            <w:vAlign w:val="center"/>
          </w:tcPr>
          <w:p w:rsidR="00BC56A2" w:rsidRPr="00837D3D" w:rsidP="00837D3D" w14:paraId="5057EA6C" w14:textId="77777777">
            <w:pPr>
              <w:rPr>
                <w:sz w:val="20"/>
                <w:szCs w:val="18"/>
              </w:rPr>
            </w:pPr>
            <w:r w:rsidRPr="00837D3D">
              <w:rPr>
                <w:sz w:val="20"/>
                <w:szCs w:val="18"/>
              </w:rPr>
              <w:t>0.71</w:t>
            </w:r>
          </w:p>
        </w:tc>
        <w:tc>
          <w:tcPr>
            <w:tcW w:w="918" w:type="dxa"/>
            <w:tcBorders>
              <w:top w:val="single" w:sz="6" w:space="0" w:color="auto"/>
              <w:bottom w:val="single" w:sz="8" w:space="0" w:color="auto"/>
            </w:tcBorders>
            <w:vAlign w:val="center"/>
          </w:tcPr>
          <w:p w:rsidR="00BC56A2" w:rsidRPr="00837D3D" w:rsidP="00837D3D" w14:paraId="57C8FFAF" w14:textId="77777777">
            <w:pPr>
              <w:rPr>
                <w:sz w:val="20"/>
                <w:szCs w:val="18"/>
              </w:rPr>
            </w:pPr>
            <w:r w:rsidRPr="00837D3D">
              <w:rPr>
                <w:sz w:val="20"/>
                <w:szCs w:val="18"/>
              </w:rPr>
              <w:t>0.79</w:t>
            </w:r>
          </w:p>
        </w:tc>
        <w:tc>
          <w:tcPr>
            <w:tcW w:w="3412" w:type="dxa"/>
            <w:tcBorders>
              <w:top w:val="single" w:sz="6" w:space="0" w:color="auto"/>
              <w:bottom w:val="single" w:sz="8" w:space="0" w:color="auto"/>
            </w:tcBorders>
            <w:vAlign w:val="center"/>
          </w:tcPr>
          <w:p w:rsidR="00BC56A2" w:rsidRPr="00837D3D" w:rsidP="00837D3D" w14:paraId="5505BD3B" w14:textId="77777777">
            <w:pPr>
              <w:rPr>
                <w:sz w:val="20"/>
                <w:szCs w:val="18"/>
              </w:rPr>
            </w:pPr>
            <w:r w:rsidRPr="00837D3D">
              <w:rPr>
                <w:sz w:val="20"/>
                <w:szCs w:val="18"/>
              </w:rPr>
              <w:t>0.38% corresponding to P</w:t>
            </w:r>
            <w:r w:rsidRPr="00837D3D">
              <w:rPr>
                <w:sz w:val="20"/>
                <w:szCs w:val="18"/>
                <w:vertAlign w:val="subscript"/>
              </w:rPr>
              <w:t xml:space="preserve">pk </w:t>
            </w:r>
            <w:r w:rsidRPr="00837D3D">
              <w:rPr>
                <w:sz w:val="20"/>
                <w:szCs w:val="18"/>
              </w:rPr>
              <w:t>= 0.89</w:t>
            </w:r>
          </w:p>
        </w:tc>
      </w:tr>
      <w:tr w14:paraId="651196D9" w14:textId="77777777" w:rsidTr="00837D3D">
        <w:tblPrEx>
          <w:tblW w:w="10142" w:type="dxa"/>
          <w:tblInd w:w="-432" w:type="dxa"/>
          <w:tblLayout w:type="fixed"/>
          <w:tblLook w:val="04A0"/>
        </w:tblPrEx>
        <w:trPr>
          <w:trHeight w:val="293"/>
        </w:trPr>
        <w:tc>
          <w:tcPr>
            <w:tcW w:w="2042" w:type="dxa"/>
            <w:vMerge w:val="restart"/>
            <w:tcBorders>
              <w:top w:val="single" w:sz="8" w:space="0" w:color="auto"/>
            </w:tcBorders>
            <w:vAlign w:val="center"/>
          </w:tcPr>
          <w:p w:rsidR="00BC56A2" w:rsidRPr="00837D3D" w:rsidP="00837D3D" w14:paraId="2D1AAC27" w14:textId="77777777">
            <w:pPr>
              <w:rPr>
                <w:sz w:val="20"/>
                <w:szCs w:val="18"/>
                <w:vertAlign w:val="superscript"/>
              </w:rPr>
            </w:pPr>
            <w:r w:rsidRPr="00837D3D">
              <w:rPr>
                <w:sz w:val="20"/>
                <w:szCs w:val="18"/>
              </w:rPr>
              <w:t>CTQ-SEV3</w:t>
            </w:r>
            <w:r w:rsidRPr="00837D3D">
              <w:rPr>
                <w:sz w:val="20"/>
                <w:szCs w:val="18"/>
                <w:vertAlign w:val="superscript"/>
              </w:rPr>
              <w:t>[2]</w:t>
            </w:r>
          </w:p>
          <w:p w:rsidR="00BC56A2" w:rsidRPr="00837D3D" w:rsidP="00837D3D" w14:paraId="734B1E1F" w14:textId="77777777">
            <w:pPr>
              <w:rPr>
                <w:sz w:val="20"/>
                <w:szCs w:val="18"/>
                <w:vertAlign w:val="superscript"/>
              </w:rPr>
            </w:pPr>
            <w:r w:rsidRPr="00837D3D">
              <w:rPr>
                <w:sz w:val="20"/>
                <w:szCs w:val="18"/>
              </w:rPr>
              <w:t>CTQ-SEV1</w:t>
            </w:r>
            <w:r w:rsidRPr="00837D3D">
              <w:rPr>
                <w:sz w:val="20"/>
                <w:szCs w:val="18"/>
                <w:vertAlign w:val="superscript"/>
              </w:rPr>
              <w:t>[2]</w:t>
            </w:r>
          </w:p>
          <w:p w:rsidR="00BC56A2" w:rsidRPr="00837D3D" w:rsidP="00837D3D" w14:paraId="23CF6FD1" w14:textId="77777777">
            <w:pPr>
              <w:rPr>
                <w:sz w:val="20"/>
                <w:szCs w:val="18"/>
              </w:rPr>
            </w:pPr>
            <w:r w:rsidRPr="00837D3D">
              <w:rPr>
                <w:sz w:val="20"/>
                <w:szCs w:val="18"/>
              </w:rPr>
              <w:t>Key Process Indicator</w:t>
            </w:r>
          </w:p>
        </w:tc>
        <w:tc>
          <w:tcPr>
            <w:tcW w:w="1179" w:type="dxa"/>
            <w:vMerge w:val="restart"/>
            <w:tcBorders>
              <w:top w:val="single" w:sz="8" w:space="0" w:color="auto"/>
            </w:tcBorders>
            <w:vAlign w:val="center"/>
          </w:tcPr>
          <w:p w:rsidR="00BC56A2" w:rsidRPr="00837D3D" w:rsidP="00837D3D" w14:paraId="680175C5" w14:textId="77777777">
            <w:pPr>
              <w:rPr>
                <w:sz w:val="20"/>
                <w:szCs w:val="18"/>
              </w:rPr>
            </w:pPr>
            <w:r w:rsidRPr="00837D3D">
              <w:rPr>
                <w:sz w:val="20"/>
                <w:szCs w:val="18"/>
              </w:rPr>
              <w:t>90%</w:t>
            </w:r>
          </w:p>
        </w:tc>
        <w:tc>
          <w:tcPr>
            <w:tcW w:w="755" w:type="dxa"/>
            <w:vMerge w:val="restart"/>
            <w:tcBorders>
              <w:top w:val="single" w:sz="8" w:space="0" w:color="auto"/>
            </w:tcBorders>
            <w:vAlign w:val="center"/>
          </w:tcPr>
          <w:p w:rsidR="00BC56A2" w:rsidRPr="00837D3D" w:rsidP="00837D3D" w14:paraId="1B100666" w14:textId="77777777">
            <w:pPr>
              <w:rPr>
                <w:sz w:val="20"/>
                <w:szCs w:val="18"/>
              </w:rPr>
            </w:pPr>
            <w:r w:rsidRPr="00837D3D">
              <w:rPr>
                <w:sz w:val="20"/>
                <w:szCs w:val="18"/>
              </w:rPr>
              <w:t>10%</w:t>
            </w:r>
          </w:p>
        </w:tc>
        <w:tc>
          <w:tcPr>
            <w:tcW w:w="999" w:type="dxa"/>
            <w:tcBorders>
              <w:top w:val="single" w:sz="8" w:space="0" w:color="auto"/>
            </w:tcBorders>
            <w:vAlign w:val="center"/>
          </w:tcPr>
          <w:p w:rsidR="00BC56A2" w:rsidRPr="00837D3D" w:rsidP="00837D3D" w14:paraId="50D225E2" w14:textId="77777777">
            <w:pPr>
              <w:rPr>
                <w:sz w:val="20"/>
                <w:szCs w:val="18"/>
              </w:rPr>
            </w:pPr>
            <w:r w:rsidRPr="00837D3D">
              <w:rPr>
                <w:sz w:val="20"/>
                <w:szCs w:val="18"/>
              </w:rPr>
              <w:t>n=15</w:t>
            </w:r>
          </w:p>
        </w:tc>
        <w:tc>
          <w:tcPr>
            <w:tcW w:w="837" w:type="dxa"/>
            <w:tcBorders>
              <w:top w:val="single" w:sz="8" w:space="0" w:color="auto"/>
            </w:tcBorders>
            <w:vAlign w:val="center"/>
          </w:tcPr>
          <w:p w:rsidR="00BC56A2" w:rsidRPr="00837D3D" w:rsidP="00837D3D" w14:paraId="29043D19" w14:textId="77777777">
            <w:pPr>
              <w:rPr>
                <w:sz w:val="20"/>
                <w:szCs w:val="18"/>
              </w:rPr>
            </w:pPr>
            <w:r w:rsidRPr="00837D3D">
              <w:rPr>
                <w:sz w:val="20"/>
                <w:szCs w:val="18"/>
              </w:rPr>
              <w:t>0.71</w:t>
            </w:r>
          </w:p>
        </w:tc>
        <w:tc>
          <w:tcPr>
            <w:tcW w:w="918" w:type="dxa"/>
            <w:tcBorders>
              <w:top w:val="single" w:sz="8" w:space="0" w:color="auto"/>
            </w:tcBorders>
            <w:vAlign w:val="center"/>
          </w:tcPr>
          <w:p w:rsidR="00BC56A2" w:rsidRPr="00837D3D" w:rsidP="00837D3D" w14:paraId="22A8B470" w14:textId="77777777">
            <w:pPr>
              <w:rPr>
                <w:sz w:val="20"/>
                <w:szCs w:val="18"/>
              </w:rPr>
            </w:pPr>
            <w:r w:rsidRPr="00837D3D">
              <w:rPr>
                <w:sz w:val="20"/>
                <w:szCs w:val="18"/>
              </w:rPr>
              <w:t>0.77</w:t>
            </w:r>
          </w:p>
        </w:tc>
        <w:tc>
          <w:tcPr>
            <w:tcW w:w="3412" w:type="dxa"/>
            <w:tcBorders>
              <w:top w:val="single" w:sz="8" w:space="0" w:color="auto"/>
            </w:tcBorders>
            <w:vAlign w:val="center"/>
          </w:tcPr>
          <w:p w:rsidR="00BC56A2" w:rsidRPr="00837D3D" w:rsidP="00837D3D" w14:paraId="3D1EE3AF" w14:textId="77777777">
            <w:pPr>
              <w:rPr>
                <w:sz w:val="20"/>
                <w:szCs w:val="18"/>
              </w:rPr>
            </w:pPr>
            <w:r w:rsidRPr="00837D3D">
              <w:rPr>
                <w:sz w:val="20"/>
                <w:szCs w:val="18"/>
              </w:rPr>
              <w:t>0.19% corresponding to P</w:t>
            </w:r>
            <w:r w:rsidRPr="00837D3D">
              <w:rPr>
                <w:sz w:val="20"/>
                <w:szCs w:val="18"/>
                <w:vertAlign w:val="subscript"/>
              </w:rPr>
              <w:t xml:space="preserve">pk </w:t>
            </w:r>
            <w:r w:rsidRPr="00837D3D">
              <w:rPr>
                <w:sz w:val="20"/>
                <w:szCs w:val="18"/>
              </w:rPr>
              <w:t>= 0.96</w:t>
            </w:r>
          </w:p>
        </w:tc>
      </w:tr>
      <w:tr w14:paraId="378731BC" w14:textId="77777777" w:rsidTr="00837D3D">
        <w:tblPrEx>
          <w:tblW w:w="10142" w:type="dxa"/>
          <w:tblInd w:w="-432" w:type="dxa"/>
          <w:tblLayout w:type="fixed"/>
          <w:tblLook w:val="04A0"/>
        </w:tblPrEx>
        <w:trPr>
          <w:trHeight w:val="293"/>
        </w:trPr>
        <w:tc>
          <w:tcPr>
            <w:tcW w:w="2042" w:type="dxa"/>
            <w:vMerge/>
            <w:vAlign w:val="center"/>
          </w:tcPr>
          <w:p w:rsidR="00BC56A2" w:rsidRPr="00837D3D" w:rsidP="00837D3D" w14:paraId="6ED500B6" w14:textId="77777777">
            <w:pPr>
              <w:rPr>
                <w:sz w:val="20"/>
                <w:szCs w:val="18"/>
              </w:rPr>
            </w:pPr>
          </w:p>
        </w:tc>
        <w:tc>
          <w:tcPr>
            <w:tcW w:w="1179" w:type="dxa"/>
            <w:vMerge/>
            <w:vAlign w:val="center"/>
          </w:tcPr>
          <w:p w:rsidR="00BC56A2" w:rsidRPr="00837D3D" w:rsidP="00837D3D" w14:paraId="7C8925F2" w14:textId="77777777">
            <w:pPr>
              <w:rPr>
                <w:sz w:val="20"/>
                <w:szCs w:val="18"/>
              </w:rPr>
            </w:pPr>
          </w:p>
        </w:tc>
        <w:tc>
          <w:tcPr>
            <w:tcW w:w="755" w:type="dxa"/>
            <w:vMerge/>
            <w:vAlign w:val="center"/>
          </w:tcPr>
          <w:p w:rsidR="00BC56A2" w:rsidRPr="00837D3D" w:rsidP="00837D3D" w14:paraId="3481C168" w14:textId="77777777">
            <w:pPr>
              <w:rPr>
                <w:sz w:val="20"/>
                <w:szCs w:val="18"/>
              </w:rPr>
            </w:pPr>
          </w:p>
        </w:tc>
        <w:tc>
          <w:tcPr>
            <w:tcW w:w="999" w:type="dxa"/>
            <w:vAlign w:val="center"/>
          </w:tcPr>
          <w:p w:rsidR="00BC56A2" w:rsidRPr="00837D3D" w:rsidP="00837D3D" w14:paraId="70E57C6F" w14:textId="77777777">
            <w:pPr>
              <w:rPr>
                <w:sz w:val="20"/>
                <w:szCs w:val="18"/>
              </w:rPr>
            </w:pPr>
            <w:r w:rsidRPr="00837D3D">
              <w:rPr>
                <w:sz w:val="20"/>
                <w:szCs w:val="18"/>
              </w:rPr>
              <w:t>n=20</w:t>
            </w:r>
          </w:p>
        </w:tc>
        <w:tc>
          <w:tcPr>
            <w:tcW w:w="837" w:type="dxa"/>
            <w:vAlign w:val="center"/>
          </w:tcPr>
          <w:p w:rsidR="00BC56A2" w:rsidRPr="00837D3D" w:rsidP="00837D3D" w14:paraId="2EE39D5F" w14:textId="77777777">
            <w:pPr>
              <w:rPr>
                <w:sz w:val="20"/>
                <w:szCs w:val="18"/>
              </w:rPr>
            </w:pPr>
            <w:r w:rsidRPr="00837D3D">
              <w:rPr>
                <w:sz w:val="20"/>
                <w:szCs w:val="18"/>
              </w:rPr>
              <w:t>0.66</w:t>
            </w:r>
          </w:p>
        </w:tc>
        <w:tc>
          <w:tcPr>
            <w:tcW w:w="918" w:type="dxa"/>
            <w:vAlign w:val="center"/>
          </w:tcPr>
          <w:p w:rsidR="00BC56A2" w:rsidRPr="00837D3D" w:rsidP="00837D3D" w14:paraId="6D19007A" w14:textId="77777777">
            <w:pPr>
              <w:rPr>
                <w:sz w:val="20"/>
                <w:szCs w:val="18"/>
              </w:rPr>
            </w:pPr>
            <w:r w:rsidRPr="00837D3D">
              <w:rPr>
                <w:sz w:val="20"/>
                <w:szCs w:val="18"/>
              </w:rPr>
              <w:t>0.73</w:t>
            </w:r>
          </w:p>
        </w:tc>
        <w:tc>
          <w:tcPr>
            <w:tcW w:w="3412" w:type="dxa"/>
            <w:vAlign w:val="center"/>
          </w:tcPr>
          <w:p w:rsidR="00BC56A2" w:rsidRPr="00837D3D" w:rsidP="00837D3D" w14:paraId="733446A6" w14:textId="77777777">
            <w:pPr>
              <w:rPr>
                <w:sz w:val="20"/>
                <w:szCs w:val="18"/>
              </w:rPr>
            </w:pPr>
            <w:r w:rsidRPr="00837D3D">
              <w:rPr>
                <w:sz w:val="20"/>
                <w:szCs w:val="18"/>
              </w:rPr>
              <w:t>0.46% corresponding to P</w:t>
            </w:r>
            <w:r w:rsidRPr="00837D3D">
              <w:rPr>
                <w:sz w:val="20"/>
                <w:szCs w:val="18"/>
                <w:vertAlign w:val="subscript"/>
              </w:rPr>
              <w:t xml:space="preserve">pk </w:t>
            </w:r>
            <w:r w:rsidRPr="00837D3D">
              <w:rPr>
                <w:sz w:val="20"/>
                <w:szCs w:val="18"/>
              </w:rPr>
              <w:t>= 0.87</w:t>
            </w:r>
          </w:p>
        </w:tc>
      </w:tr>
      <w:tr w14:paraId="4D4F8E7B" w14:textId="77777777" w:rsidTr="00837D3D">
        <w:tblPrEx>
          <w:tblW w:w="10142" w:type="dxa"/>
          <w:tblInd w:w="-432" w:type="dxa"/>
          <w:tblLayout w:type="fixed"/>
          <w:tblLook w:val="04A0"/>
        </w:tblPrEx>
        <w:trPr>
          <w:trHeight w:val="293"/>
        </w:trPr>
        <w:tc>
          <w:tcPr>
            <w:tcW w:w="2042" w:type="dxa"/>
            <w:vMerge/>
            <w:tcBorders>
              <w:bottom w:val="single" w:sz="8" w:space="0" w:color="auto"/>
            </w:tcBorders>
            <w:vAlign w:val="center"/>
          </w:tcPr>
          <w:p w:rsidR="00BC56A2" w:rsidRPr="00837D3D" w:rsidP="00837D3D" w14:paraId="588BD4A2" w14:textId="77777777">
            <w:pPr>
              <w:rPr>
                <w:sz w:val="20"/>
                <w:szCs w:val="18"/>
              </w:rPr>
            </w:pPr>
          </w:p>
        </w:tc>
        <w:tc>
          <w:tcPr>
            <w:tcW w:w="1179" w:type="dxa"/>
            <w:vMerge/>
            <w:tcBorders>
              <w:bottom w:val="single" w:sz="8" w:space="0" w:color="auto"/>
            </w:tcBorders>
            <w:vAlign w:val="center"/>
          </w:tcPr>
          <w:p w:rsidR="00BC56A2" w:rsidRPr="00837D3D" w:rsidP="00837D3D" w14:paraId="076934CE" w14:textId="77777777">
            <w:pPr>
              <w:rPr>
                <w:sz w:val="20"/>
                <w:szCs w:val="18"/>
              </w:rPr>
            </w:pPr>
          </w:p>
        </w:tc>
        <w:tc>
          <w:tcPr>
            <w:tcW w:w="755" w:type="dxa"/>
            <w:vMerge/>
            <w:tcBorders>
              <w:bottom w:val="single" w:sz="8" w:space="0" w:color="auto"/>
            </w:tcBorders>
            <w:vAlign w:val="center"/>
          </w:tcPr>
          <w:p w:rsidR="00BC56A2" w:rsidRPr="00837D3D" w:rsidP="00837D3D" w14:paraId="6A1B702A" w14:textId="77777777">
            <w:pPr>
              <w:rPr>
                <w:sz w:val="20"/>
                <w:szCs w:val="18"/>
              </w:rPr>
            </w:pPr>
          </w:p>
        </w:tc>
        <w:tc>
          <w:tcPr>
            <w:tcW w:w="999" w:type="dxa"/>
            <w:tcBorders>
              <w:bottom w:val="single" w:sz="8" w:space="0" w:color="auto"/>
            </w:tcBorders>
            <w:vAlign w:val="center"/>
          </w:tcPr>
          <w:p w:rsidR="00BC56A2" w:rsidRPr="00837D3D" w:rsidP="00837D3D" w14:paraId="39AAF757" w14:textId="77777777">
            <w:pPr>
              <w:rPr>
                <w:sz w:val="20"/>
                <w:szCs w:val="18"/>
              </w:rPr>
            </w:pPr>
            <w:r w:rsidRPr="00837D3D">
              <w:rPr>
                <w:sz w:val="20"/>
                <w:szCs w:val="18"/>
              </w:rPr>
              <w:t>n=30</w:t>
            </w:r>
          </w:p>
        </w:tc>
        <w:tc>
          <w:tcPr>
            <w:tcW w:w="837" w:type="dxa"/>
            <w:tcBorders>
              <w:bottom w:val="single" w:sz="8" w:space="0" w:color="auto"/>
            </w:tcBorders>
            <w:vAlign w:val="center"/>
          </w:tcPr>
          <w:p w:rsidR="00BC56A2" w:rsidRPr="00837D3D" w:rsidP="00837D3D" w14:paraId="6EDF96A6" w14:textId="77777777">
            <w:pPr>
              <w:rPr>
                <w:sz w:val="20"/>
                <w:szCs w:val="18"/>
              </w:rPr>
            </w:pPr>
            <w:r w:rsidRPr="00837D3D">
              <w:rPr>
                <w:sz w:val="20"/>
                <w:szCs w:val="18"/>
              </w:rPr>
              <w:t>0.61</w:t>
            </w:r>
          </w:p>
        </w:tc>
        <w:tc>
          <w:tcPr>
            <w:tcW w:w="918" w:type="dxa"/>
            <w:tcBorders>
              <w:bottom w:val="single" w:sz="8" w:space="0" w:color="auto"/>
            </w:tcBorders>
            <w:vAlign w:val="center"/>
          </w:tcPr>
          <w:p w:rsidR="00BC56A2" w:rsidRPr="00837D3D" w:rsidP="00837D3D" w14:paraId="12A35A8A" w14:textId="77777777">
            <w:pPr>
              <w:rPr>
                <w:sz w:val="20"/>
                <w:szCs w:val="18"/>
              </w:rPr>
            </w:pPr>
            <w:r w:rsidRPr="00837D3D">
              <w:rPr>
                <w:sz w:val="20"/>
                <w:szCs w:val="18"/>
              </w:rPr>
              <w:t>0.70</w:t>
            </w:r>
          </w:p>
        </w:tc>
        <w:tc>
          <w:tcPr>
            <w:tcW w:w="3412" w:type="dxa"/>
            <w:tcBorders>
              <w:bottom w:val="single" w:sz="8" w:space="0" w:color="auto"/>
            </w:tcBorders>
            <w:vAlign w:val="center"/>
          </w:tcPr>
          <w:p w:rsidR="00BC56A2" w:rsidRPr="00837D3D" w:rsidP="00837D3D" w14:paraId="1FD519E8" w14:textId="77777777">
            <w:pPr>
              <w:rPr>
                <w:sz w:val="20"/>
                <w:szCs w:val="18"/>
              </w:rPr>
            </w:pPr>
            <w:r w:rsidRPr="00837D3D">
              <w:rPr>
                <w:sz w:val="20"/>
                <w:szCs w:val="18"/>
              </w:rPr>
              <w:t>1.0% corresponding to P</w:t>
            </w:r>
            <w:r w:rsidRPr="00837D3D">
              <w:rPr>
                <w:sz w:val="20"/>
                <w:szCs w:val="18"/>
                <w:vertAlign w:val="subscript"/>
              </w:rPr>
              <w:t xml:space="preserve">pk </w:t>
            </w:r>
            <w:r w:rsidRPr="00837D3D">
              <w:rPr>
                <w:sz w:val="20"/>
                <w:szCs w:val="18"/>
              </w:rPr>
              <w:t>= 0.77</w:t>
            </w:r>
          </w:p>
        </w:tc>
      </w:tr>
      <w:tr w14:paraId="3E64E0BA" w14:textId="77777777" w:rsidTr="00837D3D">
        <w:tblPrEx>
          <w:tblW w:w="10142" w:type="dxa"/>
          <w:tblInd w:w="-432" w:type="dxa"/>
          <w:tblLayout w:type="fixed"/>
          <w:tblLook w:val="04A0"/>
        </w:tblPrEx>
        <w:tc>
          <w:tcPr>
            <w:tcW w:w="2042" w:type="dxa"/>
            <w:tcBorders>
              <w:top w:val="single" w:sz="8" w:space="0" w:color="auto"/>
              <w:bottom w:val="single" w:sz="8" w:space="0" w:color="auto"/>
            </w:tcBorders>
            <w:vAlign w:val="center"/>
          </w:tcPr>
          <w:p w:rsidR="00BC56A2" w:rsidRPr="00837D3D" w:rsidP="00837D3D" w14:paraId="0019DD2E" w14:textId="77777777">
            <w:pPr>
              <w:rPr>
                <w:sz w:val="20"/>
                <w:szCs w:val="18"/>
              </w:rPr>
            </w:pPr>
            <w:r w:rsidRPr="00837D3D">
              <w:rPr>
                <w:sz w:val="20"/>
                <w:szCs w:val="18"/>
              </w:rPr>
              <w:t>Non-CTS-S2</w:t>
            </w:r>
          </w:p>
          <w:p w:rsidR="00BC56A2" w:rsidRPr="00837D3D" w:rsidP="00837D3D" w14:paraId="7B46CEAD" w14:textId="77777777">
            <w:pPr>
              <w:rPr>
                <w:sz w:val="20"/>
                <w:szCs w:val="18"/>
              </w:rPr>
            </w:pPr>
            <w:r w:rsidRPr="00837D3D">
              <w:rPr>
                <w:sz w:val="20"/>
                <w:szCs w:val="18"/>
              </w:rPr>
              <w:t>Non-CTS-S1</w:t>
            </w:r>
          </w:p>
          <w:p w:rsidR="00BC56A2" w:rsidRPr="00837D3D" w:rsidP="00837D3D" w14:paraId="6673C00D" w14:textId="77777777">
            <w:pPr>
              <w:rPr>
                <w:sz w:val="20"/>
                <w:szCs w:val="18"/>
                <w:lang w:val="fr-FR"/>
              </w:rPr>
            </w:pPr>
            <w:r w:rsidRPr="00837D3D">
              <w:rPr>
                <w:sz w:val="20"/>
                <w:szCs w:val="18"/>
                <w:lang w:val="fr-FR"/>
              </w:rPr>
              <w:t>Non-CTS-S0</w:t>
            </w:r>
          </w:p>
          <w:p w:rsidR="00BC56A2" w:rsidRPr="00837D3D" w:rsidP="00837D3D" w14:paraId="019BAE49" w14:textId="77777777">
            <w:pPr>
              <w:rPr>
                <w:sz w:val="20"/>
                <w:szCs w:val="18"/>
                <w:lang w:val="fr-FR"/>
              </w:rPr>
            </w:pPr>
            <w:r w:rsidRPr="00837D3D">
              <w:rPr>
                <w:sz w:val="20"/>
                <w:szCs w:val="18"/>
                <w:lang w:val="fr-FR"/>
              </w:rPr>
              <w:t>Non-CTQ SEV8</w:t>
            </w:r>
          </w:p>
          <w:p w:rsidR="00BC56A2" w:rsidRPr="00837D3D" w:rsidP="00837D3D" w14:paraId="4C79C7CA" w14:textId="77777777">
            <w:pPr>
              <w:rPr>
                <w:sz w:val="20"/>
                <w:szCs w:val="18"/>
                <w:lang w:val="fr-FR"/>
              </w:rPr>
            </w:pPr>
            <w:r w:rsidRPr="00837D3D">
              <w:rPr>
                <w:sz w:val="20"/>
                <w:szCs w:val="18"/>
                <w:lang w:val="fr-FR"/>
              </w:rPr>
              <w:t>Non-CTQ SEV5</w:t>
            </w:r>
          </w:p>
          <w:p w:rsidR="00BC56A2" w:rsidRPr="00837D3D" w:rsidP="00837D3D" w14:paraId="76F25CBC" w14:textId="77777777">
            <w:pPr>
              <w:rPr>
                <w:sz w:val="20"/>
                <w:szCs w:val="18"/>
                <w:lang w:val="fr-FR"/>
              </w:rPr>
            </w:pPr>
            <w:r w:rsidRPr="00837D3D">
              <w:rPr>
                <w:sz w:val="20"/>
                <w:szCs w:val="18"/>
                <w:lang w:val="fr-FR"/>
              </w:rPr>
              <w:t>Non-CTQ SEV3</w:t>
            </w:r>
          </w:p>
          <w:p w:rsidR="00BC56A2" w:rsidRPr="00837D3D" w:rsidP="00837D3D" w14:paraId="4ADC811F" w14:textId="77777777">
            <w:pPr>
              <w:rPr>
                <w:sz w:val="20"/>
                <w:szCs w:val="18"/>
                <w:lang w:val="fr-FR"/>
              </w:rPr>
            </w:pPr>
            <w:r w:rsidRPr="00837D3D">
              <w:rPr>
                <w:sz w:val="20"/>
                <w:szCs w:val="18"/>
                <w:lang w:val="fr-FR"/>
              </w:rPr>
              <w:t>Non-CTQ SEV1</w:t>
            </w:r>
          </w:p>
        </w:tc>
        <w:tc>
          <w:tcPr>
            <w:tcW w:w="8100" w:type="dxa"/>
            <w:gridSpan w:val="6"/>
            <w:tcBorders>
              <w:top w:val="single" w:sz="8" w:space="0" w:color="auto"/>
              <w:bottom w:val="single" w:sz="8" w:space="0" w:color="auto"/>
            </w:tcBorders>
            <w:vAlign w:val="center"/>
          </w:tcPr>
          <w:p w:rsidR="00BC56A2" w:rsidRPr="00837D3D" w:rsidP="00837D3D" w14:paraId="0852609A" w14:textId="77777777">
            <w:pPr>
              <w:rPr>
                <w:sz w:val="20"/>
                <w:szCs w:val="18"/>
              </w:rPr>
            </w:pPr>
            <w:r w:rsidRPr="00837D3D">
              <w:rPr>
                <w:sz w:val="20"/>
                <w:szCs w:val="18"/>
              </w:rPr>
              <w:t>No Sampling Plan</w:t>
            </w:r>
          </w:p>
          <w:p w:rsidR="00BC56A2" w:rsidRPr="00837D3D" w:rsidP="00837D3D" w14:paraId="5B509B5B" w14:textId="77777777">
            <w:pPr>
              <w:rPr>
                <w:sz w:val="20"/>
                <w:szCs w:val="18"/>
              </w:rPr>
            </w:pPr>
            <w:r w:rsidRPr="00837D3D">
              <w:rPr>
                <w:sz w:val="20"/>
                <w:szCs w:val="18"/>
              </w:rPr>
              <w:t>n=1 per PQ run</w:t>
            </w:r>
          </w:p>
        </w:tc>
      </w:tr>
      <w:tr w14:paraId="69509BDE" w14:textId="77777777">
        <w:tblPrEx>
          <w:tblW w:w="10142" w:type="dxa"/>
          <w:tblInd w:w="-432" w:type="dxa"/>
          <w:tblLayout w:type="fixed"/>
          <w:tblLook w:val="04A0"/>
        </w:tblPrEx>
        <w:trPr>
          <w:trHeight w:val="350"/>
        </w:trPr>
        <w:tc>
          <w:tcPr>
            <w:tcW w:w="10142" w:type="dxa"/>
            <w:gridSpan w:val="7"/>
            <w:tcBorders>
              <w:top w:val="single" w:sz="8" w:space="0" w:color="auto"/>
              <w:bottom w:val="single" w:sz="8" w:space="0" w:color="auto"/>
            </w:tcBorders>
            <w:vAlign w:val="center"/>
          </w:tcPr>
          <w:p w:rsidR="00BC56A2" w:rsidRPr="00D470FE" w:rsidP="005C08EE" w14:paraId="3F0E2446" w14:textId="7AE4536C">
            <w:pPr>
              <w:pStyle w:val="Doc-Text3"/>
              <w:spacing w:after="40"/>
              <w:rPr>
                <w:sz w:val="20"/>
              </w:rPr>
            </w:pPr>
            <w:r w:rsidRPr="00D470FE">
              <w:rPr>
                <w:sz w:val="20"/>
              </w:rPr>
              <w:t xml:space="preserve">Note [1]: When a critical quality attribute (CQA) is classified as a CTS (e.g., on a drawing) and there is no severity of harm (SOH) </w:t>
            </w:r>
            <w:r w:rsidR="00512A79">
              <w:rPr>
                <w:sz w:val="20"/>
              </w:rPr>
              <w:t>information available in a Philips FMEA document</w:t>
            </w:r>
            <w:r w:rsidRPr="00D470FE">
              <w:rPr>
                <w:sz w:val="20"/>
              </w:rPr>
              <w:t xml:space="preserve">, the sampling plan for CTS-S4 shall be used. </w:t>
            </w:r>
          </w:p>
          <w:p w:rsidR="00BC56A2" w:rsidRPr="00D470FE" w:rsidP="005C08EE" w14:paraId="1C927011" w14:textId="10BB12A8">
            <w:pPr>
              <w:pStyle w:val="Doc-Text3"/>
              <w:spacing w:after="40"/>
              <w:rPr>
                <w:sz w:val="20"/>
              </w:rPr>
            </w:pPr>
            <w:r w:rsidRPr="00D470FE">
              <w:rPr>
                <w:sz w:val="20"/>
              </w:rPr>
              <w:t>Note [2]: When a critical quality attribute (CQA) is classified as a CTQ (e.g., on a drawing) and there is no severity of effect (SOE</w:t>
            </w:r>
            <w:r w:rsidR="00512A79">
              <w:rPr>
                <w:sz w:val="20"/>
              </w:rPr>
              <w:t xml:space="preserve"> information available in a Philips FMEA document</w:t>
            </w:r>
            <w:r w:rsidRPr="00D470FE">
              <w:rPr>
                <w:sz w:val="20"/>
              </w:rPr>
              <w:t>, the sampling plan for CTQ-SEV8 shall be used.</w:t>
            </w:r>
          </w:p>
          <w:p w:rsidR="00BC56A2" w:rsidRPr="00D470FE" w:rsidP="005C08EE" w14:paraId="38E1FF76" w14:textId="77777777">
            <w:pPr>
              <w:pStyle w:val="Doc-Text3"/>
              <w:spacing w:after="40"/>
              <w:rPr>
                <w:sz w:val="20"/>
              </w:rPr>
            </w:pPr>
            <w:r w:rsidRPr="00D470FE">
              <w:rPr>
                <w:sz w:val="20"/>
              </w:rPr>
              <w:t>Note [3]: The reliability is the percent</w:t>
            </w:r>
            <w:r>
              <w:rPr>
                <w:sz w:val="20"/>
              </w:rPr>
              <w:t>age</w:t>
            </w:r>
            <w:r w:rsidRPr="00D470FE">
              <w:rPr>
                <w:sz w:val="20"/>
              </w:rPr>
              <w:t xml:space="preserve"> or proportion conforming. The reliability level is risk-based.</w:t>
            </w:r>
          </w:p>
          <w:p w:rsidR="00BC56A2" w:rsidRPr="00D470FE" w:rsidP="005C08EE" w14:paraId="5112300D" w14:textId="77777777">
            <w:pPr>
              <w:pStyle w:val="Doc-Text3"/>
              <w:spacing w:after="40"/>
              <w:rPr>
                <w:sz w:val="20"/>
              </w:rPr>
            </w:pPr>
            <w:r w:rsidRPr="00D470FE">
              <w:rPr>
                <w:sz w:val="20"/>
              </w:rPr>
              <w:t>Note [4]: The RQL is the Reject Quality Level. RQL = 100% - % Reliability. The RQL is representative of the percent</w:t>
            </w:r>
            <w:r>
              <w:rPr>
                <w:sz w:val="20"/>
              </w:rPr>
              <w:t>age</w:t>
            </w:r>
            <w:r w:rsidRPr="00D470FE">
              <w:rPr>
                <w:sz w:val="20"/>
              </w:rPr>
              <w:t xml:space="preserve"> or proportion nonconforming that the sampling plan rejects on a regular basis.</w:t>
            </w:r>
          </w:p>
          <w:p w:rsidR="00BC56A2" w:rsidRPr="00D470FE" w:rsidP="005C08EE" w14:paraId="41CA48ED" w14:textId="77777777">
            <w:pPr>
              <w:pStyle w:val="Doc-Text3"/>
              <w:spacing w:after="40"/>
              <w:rPr>
                <w:sz w:val="20"/>
              </w:rPr>
            </w:pPr>
            <w:r w:rsidRPr="00D470FE">
              <w:rPr>
                <w:sz w:val="20"/>
              </w:rPr>
              <w:t xml:space="preserve">Note [5]: The AQL is the Accept Quality Level. The AQL is representative of the percent or proportion nonconforming that the sampling plan accepts on a regular basis. Note: It is not a requirement to meet the AQL. The AQL is merely presented for reference. The % in this column indicates the estimated defect rate the process should have for the sampling plan to accept the OQ or PQ run on a routine basis (95% of the time). Defect rates can be estimated based on similar processes with historic data or test results from process characterization, engineering runs, pilot builds, etc. </w:t>
            </w:r>
          </w:p>
          <w:p w:rsidR="00BC56A2" w:rsidRPr="00D470FE" w:rsidP="005C08EE" w14:paraId="085C7CA6" w14:textId="77777777">
            <w:pPr>
              <w:pStyle w:val="Doc-Text3"/>
              <w:spacing w:after="40"/>
              <w:rPr>
                <w:sz w:val="20"/>
              </w:rPr>
            </w:pPr>
            <w:r w:rsidRPr="00D470FE">
              <w:rPr>
                <w:sz w:val="20"/>
              </w:rPr>
              <w:t>Note [6]: Three sampling plans are available. Choose either 15, 20, or 30 samples. Consider that the sampling plan’s AQL (% nonconforming) decreases as the sample size increases.</w:t>
            </w:r>
          </w:p>
          <w:p w:rsidR="00BC56A2" w:rsidRPr="00864357" w:rsidP="00FB2312" w14:paraId="5F26A9E5" w14:textId="77777777">
            <w:pPr>
              <w:pStyle w:val="Doc-Text3"/>
              <w:keepNext/>
              <w:spacing w:after="40"/>
              <w:rPr>
                <w:sz w:val="20"/>
              </w:rPr>
            </w:pPr>
            <w:r w:rsidRPr="00D470FE">
              <w:rPr>
                <w:sz w:val="20"/>
              </w:rPr>
              <w:t>Note [7]: For One-sided specifications, use the P</w:t>
            </w:r>
            <w:r w:rsidRPr="00D470FE">
              <w:rPr>
                <w:sz w:val="20"/>
                <w:vertAlign w:val="subscript"/>
              </w:rPr>
              <w:t>pk</w:t>
            </w:r>
            <w:r w:rsidRPr="00D470FE">
              <w:rPr>
                <w:sz w:val="20"/>
              </w:rPr>
              <w:t>. For Two-sided specifications, use both the P</w:t>
            </w:r>
            <w:r w:rsidRPr="00D470FE">
              <w:rPr>
                <w:sz w:val="20"/>
                <w:vertAlign w:val="subscript"/>
              </w:rPr>
              <w:t>pk</w:t>
            </w:r>
            <w:r w:rsidRPr="00D470FE">
              <w:rPr>
                <w:sz w:val="20"/>
              </w:rPr>
              <w:t xml:space="preserve"> and P</w:t>
            </w:r>
            <w:r w:rsidRPr="00D470FE">
              <w:rPr>
                <w:sz w:val="20"/>
                <w:vertAlign w:val="subscript"/>
              </w:rPr>
              <w:t>p</w:t>
            </w:r>
            <w:r w:rsidRPr="00D470FE">
              <w:rPr>
                <w:sz w:val="20"/>
              </w:rPr>
              <w:t>.</w:t>
            </w:r>
          </w:p>
        </w:tc>
      </w:tr>
    </w:tbl>
    <w:p w:rsidR="00D171F8" w:rsidP="00FB2312" w14:paraId="2017243E" w14:textId="452C46CD">
      <w:pPr>
        <w:pStyle w:val="Caption"/>
      </w:pPr>
      <w:r>
        <w:t xml:space="preserve">Table </w:t>
      </w:r>
      <w:r>
        <w:fldChar w:fldCharType="begin"/>
      </w:r>
      <w:r>
        <w:instrText xml:space="preserve"> SEQ Tabel \* ARABIC </w:instrText>
      </w:r>
      <w:r>
        <w:fldChar w:fldCharType="separate"/>
      </w:r>
      <w:r>
        <w:t>13</w:t>
      </w:r>
      <w:r>
        <w:fldChar w:fldCharType="end"/>
      </w:r>
      <w:r>
        <w:t xml:space="preserve">: </w:t>
      </w:r>
      <w:r w:rsidRPr="00EA51B2">
        <w:t>Variable Sampling Plans for PQ, 95% Confidence, α=5%, β=5%</w:t>
      </w:r>
    </w:p>
    <w:p w:rsidR="00D171F8" w:rsidP="00D171F8" w14:paraId="32D6264E" w14:textId="77777777">
      <w:r>
        <w:br w:type="page"/>
      </w:r>
    </w:p>
    <w:p w:rsidR="00D171F8" w:rsidP="00EE1EA6" w14:paraId="5C8858A0" w14:textId="7E4039A5">
      <w:pPr>
        <w:pStyle w:val="Heading2"/>
      </w:pPr>
      <w:bookmarkStart w:id="872" w:name="_Toc188651158"/>
      <w:bookmarkStart w:id="873" w:name="_Toc256000043"/>
      <w:r w:rsidRPr="004469E6">
        <w:t>Variable</w:t>
      </w:r>
      <w:r>
        <w:t xml:space="preserve"> Sampling Plans for OQ</w:t>
      </w:r>
      <w:bookmarkEnd w:id="873"/>
      <w:bookmarkEnd w:id="872"/>
    </w:p>
    <w:p w:rsidR="00D171F8" w:rsidP="00512A79" w14:paraId="75BCC73E" w14:textId="77777777">
      <w:r>
        <w:t>Table 14 describes risk-based variable sampling plans that must be used for Operational Qualification (OQ). Three options for each reliability level are available, each offering the same protection to the customer.</w:t>
      </w:r>
    </w:p>
    <w:p w:rsidR="00D171F8" w:rsidRPr="00AC4341" w:rsidP="00FB2312" w14:paraId="069AFDC6" w14:textId="5D874D0B"/>
    <w:tbl>
      <w:tblPr>
        <w:tblStyle w:val="TableGrid"/>
        <w:tblW w:w="10142" w:type="dxa"/>
        <w:tblInd w:w="-4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2049"/>
        <w:gridCol w:w="1324"/>
        <w:gridCol w:w="756"/>
        <w:gridCol w:w="999"/>
        <w:gridCol w:w="836"/>
        <w:gridCol w:w="756"/>
        <w:gridCol w:w="3422"/>
      </w:tblGrid>
      <w:tr w14:paraId="3531F6BD" w14:textId="77777777">
        <w:tblPrEx>
          <w:tblW w:w="10142" w:type="dxa"/>
          <w:tblInd w:w="-432" w:type="dxa"/>
          <w:tblLayout w:type="fixed"/>
          <w:tblLook w:val="04A0"/>
        </w:tblPrEx>
        <w:tc>
          <w:tcPr>
            <w:tcW w:w="2049" w:type="dxa"/>
            <w:vMerge w:val="restart"/>
            <w:tcBorders>
              <w:top w:val="single" w:sz="8" w:space="0" w:color="auto"/>
              <w:bottom w:val="single" w:sz="6" w:space="0" w:color="auto"/>
            </w:tcBorders>
            <w:shd w:val="clear" w:color="auto" w:fill="C4F6D2" w:themeFill="accent3" w:themeFillTint="33"/>
            <w:vAlign w:val="center"/>
          </w:tcPr>
          <w:p w:rsidR="00BC56A2" w:rsidRPr="00837D3D" w:rsidP="00837D3D" w14:paraId="29D9714B" w14:textId="77777777">
            <w:pPr>
              <w:jc w:val="center"/>
              <w:rPr>
                <w:b/>
                <w:bCs/>
              </w:rPr>
            </w:pPr>
            <w:r w:rsidRPr="00837D3D">
              <w:rPr>
                <w:b/>
                <w:bCs/>
              </w:rPr>
              <w:t>Criticality,</w:t>
            </w:r>
          </w:p>
          <w:p w:rsidR="00BC56A2" w:rsidRPr="00D25AA6" w:rsidP="00837D3D" w14:paraId="15DC18ED" w14:textId="77777777">
            <w:pPr>
              <w:jc w:val="center"/>
            </w:pPr>
            <w:r w:rsidRPr="00837D3D">
              <w:rPr>
                <w:b/>
                <w:bCs/>
              </w:rPr>
              <w:t>Severity of Harm (SOH), Severity of Effect (SOE)</w:t>
            </w:r>
          </w:p>
        </w:tc>
        <w:tc>
          <w:tcPr>
            <w:tcW w:w="8093" w:type="dxa"/>
            <w:gridSpan w:val="6"/>
            <w:tcBorders>
              <w:top w:val="single" w:sz="8" w:space="0" w:color="auto"/>
              <w:bottom w:val="single" w:sz="6" w:space="0" w:color="auto"/>
            </w:tcBorders>
            <w:shd w:val="clear" w:color="auto" w:fill="C4F6D2" w:themeFill="accent3" w:themeFillTint="33"/>
            <w:vAlign w:val="center"/>
          </w:tcPr>
          <w:p w:rsidR="00BC56A2" w:rsidRPr="00837D3D" w:rsidP="00837D3D" w14:paraId="37B4FBF0" w14:textId="77777777">
            <w:pPr>
              <w:jc w:val="center"/>
              <w:rPr>
                <w:b/>
                <w:bCs/>
              </w:rPr>
            </w:pPr>
            <w:r w:rsidRPr="00837D3D">
              <w:rPr>
                <w:b/>
                <w:bCs/>
              </w:rPr>
              <w:t>Variable Sampling Plans for OQ</w:t>
            </w:r>
          </w:p>
        </w:tc>
      </w:tr>
      <w:tr w14:paraId="20F261E6" w14:textId="77777777">
        <w:tblPrEx>
          <w:tblW w:w="10142" w:type="dxa"/>
          <w:tblInd w:w="-432" w:type="dxa"/>
          <w:tblLayout w:type="fixed"/>
          <w:tblLook w:val="04A0"/>
        </w:tblPrEx>
        <w:tc>
          <w:tcPr>
            <w:tcW w:w="2049" w:type="dxa"/>
            <w:vMerge/>
            <w:tcBorders>
              <w:top w:val="single" w:sz="6" w:space="0" w:color="auto"/>
              <w:bottom w:val="single" w:sz="8" w:space="0" w:color="auto"/>
            </w:tcBorders>
            <w:shd w:val="clear" w:color="auto" w:fill="C4F6D2" w:themeFill="accent3" w:themeFillTint="33"/>
            <w:vAlign w:val="center"/>
          </w:tcPr>
          <w:p w:rsidR="00BC56A2" w:rsidRPr="00D25AA6" w:rsidP="00837D3D" w14:paraId="58D36E40" w14:textId="77777777"/>
        </w:tc>
        <w:tc>
          <w:tcPr>
            <w:tcW w:w="1324" w:type="dxa"/>
            <w:tcBorders>
              <w:top w:val="single" w:sz="6" w:space="0" w:color="auto"/>
              <w:bottom w:val="single" w:sz="8" w:space="0" w:color="auto"/>
            </w:tcBorders>
            <w:shd w:val="clear" w:color="auto" w:fill="C4F6D2" w:themeFill="accent3" w:themeFillTint="33"/>
            <w:vAlign w:val="center"/>
          </w:tcPr>
          <w:p w:rsidR="00BC56A2" w:rsidRPr="00D25AA6" w:rsidP="00837D3D" w14:paraId="423972EE" w14:textId="77777777">
            <w:pPr>
              <w:rPr>
                <w:bCs/>
                <w:vertAlign w:val="superscript"/>
              </w:rPr>
            </w:pPr>
            <w:r w:rsidRPr="00D25AA6">
              <w:t>Reliability</w:t>
            </w:r>
            <w:r w:rsidRPr="00D25AA6">
              <w:rPr>
                <w:vertAlign w:val="superscript"/>
              </w:rPr>
              <w:t xml:space="preserve"> [3]</w:t>
            </w:r>
          </w:p>
        </w:tc>
        <w:tc>
          <w:tcPr>
            <w:tcW w:w="756" w:type="dxa"/>
            <w:tcBorders>
              <w:top w:val="single" w:sz="6" w:space="0" w:color="auto"/>
              <w:bottom w:val="single" w:sz="8" w:space="0" w:color="auto"/>
            </w:tcBorders>
            <w:shd w:val="clear" w:color="auto" w:fill="C4F6D2" w:themeFill="accent3" w:themeFillTint="33"/>
            <w:vAlign w:val="center"/>
          </w:tcPr>
          <w:p w:rsidR="00BC56A2" w:rsidRPr="00D25AA6" w:rsidP="00837D3D" w14:paraId="30FADA98" w14:textId="77777777">
            <w:pPr>
              <w:rPr>
                <w:bCs/>
                <w:vertAlign w:val="superscript"/>
              </w:rPr>
            </w:pPr>
            <w:r w:rsidRPr="00D25AA6">
              <w:t>RQL</w:t>
            </w:r>
            <w:r w:rsidRPr="00D25AA6">
              <w:rPr>
                <w:vertAlign w:val="superscript"/>
              </w:rPr>
              <w:t xml:space="preserve"> [4]</w:t>
            </w:r>
          </w:p>
        </w:tc>
        <w:tc>
          <w:tcPr>
            <w:tcW w:w="999" w:type="dxa"/>
            <w:tcBorders>
              <w:top w:val="single" w:sz="6" w:space="0" w:color="auto"/>
              <w:bottom w:val="single" w:sz="8" w:space="0" w:color="auto"/>
            </w:tcBorders>
            <w:shd w:val="clear" w:color="auto" w:fill="C4F6D2" w:themeFill="accent3" w:themeFillTint="33"/>
            <w:vAlign w:val="center"/>
          </w:tcPr>
          <w:p w:rsidR="00BC56A2" w:rsidRPr="00D25AA6" w:rsidP="00837D3D" w14:paraId="22A0D3A9" w14:textId="77777777">
            <w:pPr>
              <w:rPr>
                <w:bCs/>
                <w:vertAlign w:val="superscript"/>
              </w:rPr>
            </w:pPr>
            <w:r w:rsidRPr="00D25AA6">
              <w:t>Sample Size</w:t>
            </w:r>
            <w:r w:rsidRPr="00D25AA6">
              <w:rPr>
                <w:vertAlign w:val="superscript"/>
              </w:rPr>
              <w:t xml:space="preserve"> [6]</w:t>
            </w:r>
          </w:p>
        </w:tc>
        <w:tc>
          <w:tcPr>
            <w:tcW w:w="836" w:type="dxa"/>
            <w:tcBorders>
              <w:top w:val="single" w:sz="6" w:space="0" w:color="auto"/>
              <w:bottom w:val="single" w:sz="8" w:space="0" w:color="auto"/>
            </w:tcBorders>
            <w:shd w:val="clear" w:color="auto" w:fill="C4F6D2" w:themeFill="accent3" w:themeFillTint="33"/>
            <w:vAlign w:val="center"/>
          </w:tcPr>
          <w:p w:rsidR="00BC56A2" w:rsidRPr="00D25AA6" w:rsidP="00837D3D" w14:paraId="0EE4B717" w14:textId="77777777">
            <w:pPr>
              <w:rPr>
                <w:bCs/>
                <w:vertAlign w:val="superscript"/>
              </w:rPr>
            </w:pPr>
            <w:r w:rsidRPr="00D25AA6">
              <w:t>P</w:t>
            </w:r>
            <w:r w:rsidRPr="00D25AA6">
              <w:rPr>
                <w:vertAlign w:val="subscript"/>
              </w:rPr>
              <w:t>pk</w:t>
            </w:r>
            <w:r w:rsidRPr="00D25AA6">
              <w:rPr>
                <w:vertAlign w:val="superscript"/>
              </w:rPr>
              <w:t xml:space="preserve"> [7]</w:t>
            </w:r>
          </w:p>
        </w:tc>
        <w:tc>
          <w:tcPr>
            <w:tcW w:w="756" w:type="dxa"/>
            <w:tcBorders>
              <w:top w:val="single" w:sz="6" w:space="0" w:color="auto"/>
              <w:bottom w:val="single" w:sz="8" w:space="0" w:color="auto"/>
            </w:tcBorders>
            <w:shd w:val="clear" w:color="auto" w:fill="C4F6D2" w:themeFill="accent3" w:themeFillTint="33"/>
            <w:vAlign w:val="center"/>
          </w:tcPr>
          <w:p w:rsidR="00BC56A2" w:rsidRPr="00D25AA6" w:rsidP="00837D3D" w14:paraId="7750A5C6" w14:textId="77777777">
            <w:pPr>
              <w:rPr>
                <w:bCs/>
              </w:rPr>
            </w:pPr>
            <w:r w:rsidRPr="00D25AA6">
              <w:t>P</w:t>
            </w:r>
            <w:r w:rsidRPr="00D25AA6">
              <w:rPr>
                <w:vertAlign w:val="subscript"/>
              </w:rPr>
              <w:t>p</w:t>
            </w:r>
          </w:p>
        </w:tc>
        <w:tc>
          <w:tcPr>
            <w:tcW w:w="3422" w:type="dxa"/>
            <w:tcBorders>
              <w:top w:val="single" w:sz="6" w:space="0" w:color="auto"/>
              <w:bottom w:val="single" w:sz="8" w:space="0" w:color="auto"/>
            </w:tcBorders>
            <w:shd w:val="clear" w:color="auto" w:fill="C4F6D2" w:themeFill="accent3" w:themeFillTint="33"/>
            <w:vAlign w:val="center"/>
          </w:tcPr>
          <w:p w:rsidR="00BC56A2" w:rsidRPr="00D25AA6" w:rsidP="00837D3D" w14:paraId="6BF49483" w14:textId="77777777">
            <w:pPr>
              <w:rPr>
                <w:bCs/>
                <w:vertAlign w:val="superscript"/>
              </w:rPr>
            </w:pPr>
            <w:r w:rsidRPr="00D25AA6">
              <w:t>AQL</w:t>
            </w:r>
            <w:r w:rsidRPr="00D25AA6">
              <w:rPr>
                <w:vertAlign w:val="superscript"/>
              </w:rPr>
              <w:t xml:space="preserve"> [5]</w:t>
            </w:r>
          </w:p>
        </w:tc>
      </w:tr>
      <w:tr w14:paraId="7D29D044" w14:textId="77777777">
        <w:tblPrEx>
          <w:tblW w:w="10142" w:type="dxa"/>
          <w:tblInd w:w="-432" w:type="dxa"/>
          <w:tblLayout w:type="fixed"/>
          <w:tblLook w:val="04A0"/>
        </w:tblPrEx>
        <w:trPr>
          <w:trHeight w:val="154"/>
        </w:trPr>
        <w:tc>
          <w:tcPr>
            <w:tcW w:w="2049" w:type="dxa"/>
            <w:vMerge w:val="restart"/>
            <w:tcBorders>
              <w:top w:val="single" w:sz="8" w:space="0" w:color="auto"/>
              <w:bottom w:val="single" w:sz="6" w:space="0" w:color="auto"/>
            </w:tcBorders>
            <w:vAlign w:val="center"/>
          </w:tcPr>
          <w:p w:rsidR="00BC56A2" w:rsidRPr="00837D3D" w:rsidP="00837D3D" w14:paraId="0DA27539" w14:textId="77777777">
            <w:pPr>
              <w:rPr>
                <w:sz w:val="20"/>
                <w:vertAlign w:val="superscript"/>
              </w:rPr>
            </w:pPr>
            <w:r w:rsidRPr="00837D3D">
              <w:rPr>
                <w:sz w:val="20"/>
              </w:rPr>
              <w:t>CTS-S4</w:t>
            </w:r>
            <w:r w:rsidRPr="00837D3D">
              <w:rPr>
                <w:sz w:val="20"/>
                <w:vertAlign w:val="superscript"/>
              </w:rPr>
              <w:t>[1]</w:t>
            </w:r>
          </w:p>
        </w:tc>
        <w:tc>
          <w:tcPr>
            <w:tcW w:w="1324" w:type="dxa"/>
            <w:vMerge w:val="restart"/>
            <w:tcBorders>
              <w:top w:val="single" w:sz="8" w:space="0" w:color="auto"/>
              <w:bottom w:val="single" w:sz="6" w:space="0" w:color="auto"/>
            </w:tcBorders>
            <w:vAlign w:val="center"/>
          </w:tcPr>
          <w:p w:rsidR="00BC56A2" w:rsidRPr="00837D3D" w:rsidP="00837D3D" w14:paraId="2C77B5D1" w14:textId="77777777">
            <w:pPr>
              <w:rPr>
                <w:sz w:val="20"/>
              </w:rPr>
            </w:pPr>
            <w:r w:rsidRPr="00837D3D">
              <w:rPr>
                <w:sz w:val="20"/>
              </w:rPr>
              <w:t>95%</w:t>
            </w:r>
          </w:p>
        </w:tc>
        <w:tc>
          <w:tcPr>
            <w:tcW w:w="756" w:type="dxa"/>
            <w:vMerge w:val="restart"/>
            <w:tcBorders>
              <w:top w:val="single" w:sz="8" w:space="0" w:color="auto"/>
              <w:bottom w:val="single" w:sz="6" w:space="0" w:color="auto"/>
            </w:tcBorders>
            <w:vAlign w:val="center"/>
          </w:tcPr>
          <w:p w:rsidR="00BC56A2" w:rsidRPr="00837D3D" w:rsidP="00837D3D" w14:paraId="0786EFEA" w14:textId="77777777">
            <w:pPr>
              <w:rPr>
                <w:sz w:val="20"/>
              </w:rPr>
            </w:pPr>
            <w:r w:rsidRPr="00837D3D">
              <w:rPr>
                <w:sz w:val="20"/>
              </w:rPr>
              <w:t>5%</w:t>
            </w:r>
          </w:p>
        </w:tc>
        <w:tc>
          <w:tcPr>
            <w:tcW w:w="999" w:type="dxa"/>
            <w:tcBorders>
              <w:top w:val="single" w:sz="8" w:space="0" w:color="auto"/>
              <w:bottom w:val="single" w:sz="6" w:space="0" w:color="auto"/>
            </w:tcBorders>
          </w:tcPr>
          <w:p w:rsidR="00BC56A2" w:rsidRPr="00837D3D" w:rsidP="00837D3D" w14:paraId="5EAEA771" w14:textId="77777777">
            <w:pPr>
              <w:rPr>
                <w:sz w:val="20"/>
              </w:rPr>
            </w:pPr>
            <w:r w:rsidRPr="00837D3D">
              <w:rPr>
                <w:sz w:val="20"/>
              </w:rPr>
              <w:t>n=15</w:t>
            </w:r>
          </w:p>
        </w:tc>
        <w:tc>
          <w:tcPr>
            <w:tcW w:w="836" w:type="dxa"/>
            <w:tcBorders>
              <w:top w:val="single" w:sz="8" w:space="0" w:color="auto"/>
              <w:bottom w:val="single" w:sz="6" w:space="0" w:color="auto"/>
            </w:tcBorders>
            <w:vAlign w:val="center"/>
          </w:tcPr>
          <w:p w:rsidR="00BC56A2" w:rsidRPr="00837D3D" w:rsidP="00837D3D" w14:paraId="6D5A862B" w14:textId="77777777">
            <w:pPr>
              <w:rPr>
                <w:sz w:val="20"/>
              </w:rPr>
            </w:pPr>
            <w:r w:rsidRPr="00837D3D">
              <w:rPr>
                <w:sz w:val="20"/>
              </w:rPr>
              <w:t>0.87</w:t>
            </w:r>
          </w:p>
        </w:tc>
        <w:tc>
          <w:tcPr>
            <w:tcW w:w="756" w:type="dxa"/>
            <w:tcBorders>
              <w:top w:val="single" w:sz="8" w:space="0" w:color="auto"/>
              <w:bottom w:val="single" w:sz="6" w:space="0" w:color="auto"/>
            </w:tcBorders>
            <w:vAlign w:val="center"/>
          </w:tcPr>
          <w:p w:rsidR="00BC56A2" w:rsidRPr="00837D3D" w:rsidP="00837D3D" w14:paraId="44DA23F2" w14:textId="77777777">
            <w:pPr>
              <w:rPr>
                <w:sz w:val="20"/>
              </w:rPr>
            </w:pPr>
            <w:r w:rsidRPr="00837D3D">
              <w:rPr>
                <w:sz w:val="20"/>
              </w:rPr>
              <w:t>0.91</w:t>
            </w:r>
          </w:p>
        </w:tc>
        <w:tc>
          <w:tcPr>
            <w:tcW w:w="3422" w:type="dxa"/>
            <w:tcBorders>
              <w:top w:val="single" w:sz="8" w:space="0" w:color="auto"/>
              <w:bottom w:val="single" w:sz="6" w:space="0" w:color="auto"/>
            </w:tcBorders>
            <w:vAlign w:val="center"/>
          </w:tcPr>
          <w:p w:rsidR="00BC56A2" w:rsidRPr="00837D3D" w:rsidP="00837D3D" w14:paraId="7FA1CC5C" w14:textId="77777777">
            <w:pPr>
              <w:rPr>
                <w:sz w:val="20"/>
              </w:rPr>
            </w:pPr>
            <w:r w:rsidRPr="00837D3D">
              <w:rPr>
                <w:sz w:val="20"/>
              </w:rPr>
              <w:t>0.024% corresponding to P</w:t>
            </w:r>
            <w:r w:rsidRPr="00837D3D">
              <w:rPr>
                <w:sz w:val="20"/>
                <w:vertAlign w:val="subscript"/>
              </w:rPr>
              <w:t xml:space="preserve">pk </w:t>
            </w:r>
            <w:r w:rsidRPr="00837D3D">
              <w:rPr>
                <w:sz w:val="20"/>
              </w:rPr>
              <w:t>= 1.16</w:t>
            </w:r>
          </w:p>
        </w:tc>
      </w:tr>
      <w:tr w14:paraId="28D7C3E0" w14:textId="77777777">
        <w:tblPrEx>
          <w:tblW w:w="10142" w:type="dxa"/>
          <w:tblInd w:w="-432" w:type="dxa"/>
          <w:tblLayout w:type="fixed"/>
          <w:tblLook w:val="04A0"/>
        </w:tblPrEx>
        <w:trPr>
          <w:trHeight w:val="152"/>
        </w:trPr>
        <w:tc>
          <w:tcPr>
            <w:tcW w:w="2049" w:type="dxa"/>
            <w:vMerge/>
            <w:tcBorders>
              <w:top w:val="single" w:sz="6" w:space="0" w:color="auto"/>
              <w:bottom w:val="single" w:sz="6" w:space="0" w:color="auto"/>
            </w:tcBorders>
            <w:vAlign w:val="center"/>
          </w:tcPr>
          <w:p w:rsidR="00BC56A2" w:rsidRPr="00837D3D" w:rsidP="00837D3D" w14:paraId="4827C1CE" w14:textId="77777777">
            <w:pPr>
              <w:rPr>
                <w:sz w:val="20"/>
              </w:rPr>
            </w:pPr>
          </w:p>
        </w:tc>
        <w:tc>
          <w:tcPr>
            <w:tcW w:w="1324" w:type="dxa"/>
            <w:vMerge/>
            <w:tcBorders>
              <w:top w:val="single" w:sz="6" w:space="0" w:color="auto"/>
              <w:bottom w:val="single" w:sz="6" w:space="0" w:color="auto"/>
            </w:tcBorders>
            <w:vAlign w:val="center"/>
          </w:tcPr>
          <w:p w:rsidR="00BC56A2" w:rsidRPr="00837D3D" w:rsidP="00837D3D" w14:paraId="3842D47A" w14:textId="77777777">
            <w:pPr>
              <w:rPr>
                <w:sz w:val="20"/>
              </w:rPr>
            </w:pPr>
          </w:p>
        </w:tc>
        <w:tc>
          <w:tcPr>
            <w:tcW w:w="756" w:type="dxa"/>
            <w:vMerge/>
            <w:tcBorders>
              <w:top w:val="single" w:sz="6" w:space="0" w:color="auto"/>
              <w:bottom w:val="single" w:sz="6" w:space="0" w:color="auto"/>
            </w:tcBorders>
            <w:vAlign w:val="center"/>
          </w:tcPr>
          <w:p w:rsidR="00BC56A2" w:rsidRPr="00837D3D" w:rsidP="00837D3D" w14:paraId="76DE2196" w14:textId="77777777">
            <w:pPr>
              <w:rPr>
                <w:sz w:val="20"/>
              </w:rPr>
            </w:pPr>
          </w:p>
        </w:tc>
        <w:tc>
          <w:tcPr>
            <w:tcW w:w="999" w:type="dxa"/>
            <w:tcBorders>
              <w:top w:val="single" w:sz="6" w:space="0" w:color="auto"/>
              <w:bottom w:val="single" w:sz="6" w:space="0" w:color="auto"/>
            </w:tcBorders>
          </w:tcPr>
          <w:p w:rsidR="00BC56A2" w:rsidRPr="00837D3D" w:rsidP="00837D3D" w14:paraId="42BB6C75" w14:textId="77777777">
            <w:pPr>
              <w:rPr>
                <w:sz w:val="20"/>
              </w:rPr>
            </w:pPr>
            <w:r w:rsidRPr="00837D3D">
              <w:rPr>
                <w:sz w:val="20"/>
              </w:rPr>
              <w:t>n=20</w:t>
            </w:r>
          </w:p>
        </w:tc>
        <w:tc>
          <w:tcPr>
            <w:tcW w:w="836" w:type="dxa"/>
            <w:tcBorders>
              <w:top w:val="single" w:sz="6" w:space="0" w:color="auto"/>
              <w:bottom w:val="single" w:sz="6" w:space="0" w:color="auto"/>
            </w:tcBorders>
            <w:vAlign w:val="center"/>
          </w:tcPr>
          <w:p w:rsidR="00BC56A2" w:rsidRPr="00837D3D" w:rsidP="00837D3D" w14:paraId="2B3C8CD0" w14:textId="77777777">
            <w:pPr>
              <w:rPr>
                <w:sz w:val="20"/>
              </w:rPr>
            </w:pPr>
            <w:r w:rsidRPr="00837D3D">
              <w:rPr>
                <w:sz w:val="20"/>
              </w:rPr>
              <w:t>0.82</w:t>
            </w:r>
          </w:p>
        </w:tc>
        <w:tc>
          <w:tcPr>
            <w:tcW w:w="756" w:type="dxa"/>
            <w:tcBorders>
              <w:top w:val="single" w:sz="6" w:space="0" w:color="auto"/>
              <w:bottom w:val="single" w:sz="6" w:space="0" w:color="auto"/>
            </w:tcBorders>
            <w:vAlign w:val="center"/>
          </w:tcPr>
          <w:p w:rsidR="00BC56A2" w:rsidRPr="00837D3D" w:rsidP="00837D3D" w14:paraId="4CF2C5E7" w14:textId="77777777">
            <w:pPr>
              <w:rPr>
                <w:sz w:val="20"/>
              </w:rPr>
            </w:pPr>
            <w:r w:rsidRPr="00837D3D">
              <w:rPr>
                <w:sz w:val="20"/>
              </w:rPr>
              <w:t>0.87</w:t>
            </w:r>
          </w:p>
        </w:tc>
        <w:tc>
          <w:tcPr>
            <w:tcW w:w="3422" w:type="dxa"/>
            <w:tcBorders>
              <w:top w:val="single" w:sz="6" w:space="0" w:color="auto"/>
              <w:bottom w:val="single" w:sz="6" w:space="0" w:color="auto"/>
            </w:tcBorders>
            <w:vAlign w:val="center"/>
          </w:tcPr>
          <w:p w:rsidR="00BC56A2" w:rsidRPr="00837D3D" w:rsidP="00837D3D" w14:paraId="189F0D8E" w14:textId="77777777">
            <w:pPr>
              <w:rPr>
                <w:sz w:val="20"/>
              </w:rPr>
            </w:pPr>
            <w:r w:rsidRPr="00837D3D">
              <w:rPr>
                <w:sz w:val="20"/>
              </w:rPr>
              <w:t>0.071% corresponding to P</w:t>
            </w:r>
            <w:r w:rsidRPr="00837D3D">
              <w:rPr>
                <w:sz w:val="20"/>
                <w:vertAlign w:val="subscript"/>
              </w:rPr>
              <w:t xml:space="preserve">pk </w:t>
            </w:r>
            <w:r w:rsidRPr="00837D3D">
              <w:rPr>
                <w:sz w:val="20"/>
              </w:rPr>
              <w:t>= 1.06</w:t>
            </w:r>
          </w:p>
        </w:tc>
      </w:tr>
      <w:tr w14:paraId="3BC1E9D4" w14:textId="77777777">
        <w:tblPrEx>
          <w:tblW w:w="10142" w:type="dxa"/>
          <w:tblInd w:w="-432" w:type="dxa"/>
          <w:tblLayout w:type="fixed"/>
          <w:tblLook w:val="04A0"/>
        </w:tblPrEx>
        <w:trPr>
          <w:trHeight w:val="152"/>
        </w:trPr>
        <w:tc>
          <w:tcPr>
            <w:tcW w:w="2049" w:type="dxa"/>
            <w:vMerge/>
            <w:tcBorders>
              <w:top w:val="single" w:sz="6" w:space="0" w:color="auto"/>
              <w:bottom w:val="single" w:sz="8" w:space="0" w:color="auto"/>
            </w:tcBorders>
            <w:vAlign w:val="center"/>
          </w:tcPr>
          <w:p w:rsidR="00BC56A2" w:rsidRPr="00837D3D" w:rsidP="00837D3D" w14:paraId="78822032" w14:textId="77777777">
            <w:pPr>
              <w:rPr>
                <w:sz w:val="20"/>
              </w:rPr>
            </w:pPr>
          </w:p>
        </w:tc>
        <w:tc>
          <w:tcPr>
            <w:tcW w:w="1324" w:type="dxa"/>
            <w:vMerge/>
            <w:tcBorders>
              <w:top w:val="single" w:sz="6" w:space="0" w:color="auto"/>
              <w:bottom w:val="single" w:sz="8" w:space="0" w:color="auto"/>
            </w:tcBorders>
            <w:vAlign w:val="center"/>
          </w:tcPr>
          <w:p w:rsidR="00BC56A2" w:rsidRPr="00837D3D" w:rsidP="00837D3D" w14:paraId="331A045E" w14:textId="77777777">
            <w:pPr>
              <w:rPr>
                <w:sz w:val="20"/>
              </w:rPr>
            </w:pPr>
          </w:p>
        </w:tc>
        <w:tc>
          <w:tcPr>
            <w:tcW w:w="756" w:type="dxa"/>
            <w:vMerge/>
            <w:tcBorders>
              <w:top w:val="single" w:sz="6" w:space="0" w:color="auto"/>
              <w:bottom w:val="single" w:sz="8" w:space="0" w:color="auto"/>
            </w:tcBorders>
            <w:vAlign w:val="center"/>
          </w:tcPr>
          <w:p w:rsidR="00BC56A2" w:rsidRPr="00837D3D" w:rsidP="00837D3D" w14:paraId="08265AB3" w14:textId="77777777">
            <w:pPr>
              <w:rPr>
                <w:sz w:val="20"/>
              </w:rPr>
            </w:pPr>
          </w:p>
        </w:tc>
        <w:tc>
          <w:tcPr>
            <w:tcW w:w="999" w:type="dxa"/>
            <w:tcBorders>
              <w:top w:val="single" w:sz="6" w:space="0" w:color="auto"/>
              <w:bottom w:val="single" w:sz="8" w:space="0" w:color="auto"/>
            </w:tcBorders>
          </w:tcPr>
          <w:p w:rsidR="00BC56A2" w:rsidRPr="00837D3D" w:rsidP="00837D3D" w14:paraId="4272429E" w14:textId="77777777">
            <w:pPr>
              <w:rPr>
                <w:sz w:val="20"/>
              </w:rPr>
            </w:pPr>
            <w:r w:rsidRPr="00837D3D">
              <w:rPr>
                <w:sz w:val="20"/>
              </w:rPr>
              <w:t>n=30</w:t>
            </w:r>
          </w:p>
        </w:tc>
        <w:tc>
          <w:tcPr>
            <w:tcW w:w="836" w:type="dxa"/>
            <w:tcBorders>
              <w:top w:val="single" w:sz="6" w:space="0" w:color="auto"/>
              <w:bottom w:val="single" w:sz="8" w:space="0" w:color="auto"/>
            </w:tcBorders>
            <w:vAlign w:val="center"/>
          </w:tcPr>
          <w:p w:rsidR="00BC56A2" w:rsidRPr="00837D3D" w:rsidP="00837D3D" w14:paraId="34728D14" w14:textId="77777777">
            <w:pPr>
              <w:rPr>
                <w:sz w:val="20"/>
              </w:rPr>
            </w:pPr>
            <w:r w:rsidRPr="00837D3D">
              <w:rPr>
                <w:sz w:val="20"/>
              </w:rPr>
              <w:t>0.76</w:t>
            </w:r>
          </w:p>
        </w:tc>
        <w:tc>
          <w:tcPr>
            <w:tcW w:w="756" w:type="dxa"/>
            <w:tcBorders>
              <w:top w:val="single" w:sz="6" w:space="0" w:color="auto"/>
              <w:bottom w:val="single" w:sz="8" w:space="0" w:color="auto"/>
            </w:tcBorders>
            <w:vAlign w:val="center"/>
          </w:tcPr>
          <w:p w:rsidR="00BC56A2" w:rsidRPr="00837D3D" w:rsidP="00837D3D" w14:paraId="299AFE66" w14:textId="77777777">
            <w:pPr>
              <w:rPr>
                <w:sz w:val="20"/>
              </w:rPr>
            </w:pPr>
            <w:r w:rsidRPr="00837D3D">
              <w:rPr>
                <w:sz w:val="20"/>
              </w:rPr>
              <w:t>0.83</w:t>
            </w:r>
          </w:p>
        </w:tc>
        <w:tc>
          <w:tcPr>
            <w:tcW w:w="3422" w:type="dxa"/>
            <w:tcBorders>
              <w:top w:val="single" w:sz="6" w:space="0" w:color="auto"/>
              <w:bottom w:val="single" w:sz="8" w:space="0" w:color="auto"/>
            </w:tcBorders>
            <w:vAlign w:val="center"/>
          </w:tcPr>
          <w:p w:rsidR="00BC56A2" w:rsidRPr="00837D3D" w:rsidP="00837D3D" w14:paraId="3A1E697E" w14:textId="77777777">
            <w:pPr>
              <w:rPr>
                <w:sz w:val="20"/>
              </w:rPr>
            </w:pPr>
            <w:r w:rsidRPr="00837D3D">
              <w:rPr>
                <w:sz w:val="20"/>
              </w:rPr>
              <w:t>0.22% corresponding to P</w:t>
            </w:r>
            <w:r w:rsidRPr="00837D3D">
              <w:rPr>
                <w:sz w:val="20"/>
                <w:vertAlign w:val="subscript"/>
              </w:rPr>
              <w:t xml:space="preserve">pk </w:t>
            </w:r>
            <w:r w:rsidRPr="00837D3D">
              <w:rPr>
                <w:sz w:val="20"/>
              </w:rPr>
              <w:t>= 0.95</w:t>
            </w:r>
          </w:p>
        </w:tc>
      </w:tr>
      <w:tr w14:paraId="66B4E85E" w14:textId="77777777">
        <w:tblPrEx>
          <w:tblW w:w="10142" w:type="dxa"/>
          <w:tblInd w:w="-432" w:type="dxa"/>
          <w:tblLayout w:type="fixed"/>
          <w:tblLook w:val="04A0"/>
        </w:tblPrEx>
        <w:trPr>
          <w:trHeight w:val="81"/>
        </w:trPr>
        <w:tc>
          <w:tcPr>
            <w:tcW w:w="2049" w:type="dxa"/>
            <w:vMerge w:val="restart"/>
            <w:tcBorders>
              <w:top w:val="single" w:sz="8" w:space="0" w:color="auto"/>
            </w:tcBorders>
            <w:vAlign w:val="center"/>
          </w:tcPr>
          <w:p w:rsidR="00BC56A2" w:rsidRPr="00837D3D" w:rsidP="00837D3D" w14:paraId="193448CD" w14:textId="77777777">
            <w:pPr>
              <w:rPr>
                <w:sz w:val="20"/>
                <w:vertAlign w:val="superscript"/>
              </w:rPr>
            </w:pPr>
            <w:r w:rsidRPr="00837D3D">
              <w:rPr>
                <w:sz w:val="20"/>
              </w:rPr>
              <w:t>CTS-S3</w:t>
            </w:r>
            <w:r w:rsidRPr="00837D3D">
              <w:rPr>
                <w:sz w:val="20"/>
                <w:vertAlign w:val="superscript"/>
              </w:rPr>
              <w:t>[1]</w:t>
            </w:r>
          </w:p>
        </w:tc>
        <w:tc>
          <w:tcPr>
            <w:tcW w:w="1324" w:type="dxa"/>
            <w:vMerge w:val="restart"/>
            <w:tcBorders>
              <w:top w:val="single" w:sz="8" w:space="0" w:color="auto"/>
            </w:tcBorders>
            <w:vAlign w:val="center"/>
          </w:tcPr>
          <w:p w:rsidR="00BC56A2" w:rsidRPr="00837D3D" w:rsidP="00837D3D" w14:paraId="05D9B1B3" w14:textId="77777777">
            <w:pPr>
              <w:rPr>
                <w:sz w:val="20"/>
              </w:rPr>
            </w:pPr>
            <w:r w:rsidRPr="00837D3D">
              <w:rPr>
                <w:sz w:val="20"/>
              </w:rPr>
              <w:t>93.5%</w:t>
            </w:r>
          </w:p>
        </w:tc>
        <w:tc>
          <w:tcPr>
            <w:tcW w:w="756" w:type="dxa"/>
            <w:vMerge w:val="restart"/>
            <w:tcBorders>
              <w:top w:val="single" w:sz="8" w:space="0" w:color="auto"/>
            </w:tcBorders>
            <w:vAlign w:val="center"/>
          </w:tcPr>
          <w:p w:rsidR="00BC56A2" w:rsidRPr="00837D3D" w:rsidP="00837D3D" w14:paraId="0B82CF9C" w14:textId="77777777">
            <w:pPr>
              <w:rPr>
                <w:sz w:val="20"/>
              </w:rPr>
            </w:pPr>
            <w:r w:rsidRPr="00837D3D">
              <w:rPr>
                <w:sz w:val="20"/>
              </w:rPr>
              <w:t>6.5%</w:t>
            </w:r>
          </w:p>
        </w:tc>
        <w:tc>
          <w:tcPr>
            <w:tcW w:w="999" w:type="dxa"/>
            <w:tcBorders>
              <w:top w:val="single" w:sz="8" w:space="0" w:color="auto"/>
            </w:tcBorders>
          </w:tcPr>
          <w:p w:rsidR="00BC56A2" w:rsidRPr="00837D3D" w:rsidP="00837D3D" w14:paraId="34635443" w14:textId="77777777">
            <w:pPr>
              <w:rPr>
                <w:sz w:val="20"/>
              </w:rPr>
            </w:pPr>
            <w:r w:rsidRPr="00837D3D">
              <w:rPr>
                <w:sz w:val="20"/>
              </w:rPr>
              <w:t>n=15</w:t>
            </w:r>
          </w:p>
        </w:tc>
        <w:tc>
          <w:tcPr>
            <w:tcW w:w="836" w:type="dxa"/>
            <w:tcBorders>
              <w:top w:val="single" w:sz="8" w:space="0" w:color="auto"/>
            </w:tcBorders>
            <w:vAlign w:val="center"/>
          </w:tcPr>
          <w:p w:rsidR="00BC56A2" w:rsidRPr="00837D3D" w:rsidP="00837D3D" w14:paraId="61A457D8" w14:textId="77777777">
            <w:pPr>
              <w:rPr>
                <w:sz w:val="20"/>
              </w:rPr>
            </w:pPr>
            <w:r w:rsidRPr="00837D3D">
              <w:rPr>
                <w:sz w:val="20"/>
              </w:rPr>
              <w:t>0.81</w:t>
            </w:r>
          </w:p>
        </w:tc>
        <w:tc>
          <w:tcPr>
            <w:tcW w:w="756" w:type="dxa"/>
            <w:tcBorders>
              <w:top w:val="single" w:sz="8" w:space="0" w:color="auto"/>
            </w:tcBorders>
            <w:vAlign w:val="center"/>
          </w:tcPr>
          <w:p w:rsidR="00BC56A2" w:rsidRPr="00837D3D" w:rsidP="00837D3D" w14:paraId="78CADA93" w14:textId="77777777">
            <w:pPr>
              <w:rPr>
                <w:sz w:val="20"/>
              </w:rPr>
            </w:pPr>
            <w:r w:rsidRPr="00837D3D">
              <w:rPr>
                <w:sz w:val="20"/>
              </w:rPr>
              <w:t>0.86</w:t>
            </w:r>
          </w:p>
        </w:tc>
        <w:tc>
          <w:tcPr>
            <w:tcW w:w="3422" w:type="dxa"/>
            <w:tcBorders>
              <w:top w:val="single" w:sz="8" w:space="0" w:color="auto"/>
            </w:tcBorders>
            <w:vAlign w:val="center"/>
          </w:tcPr>
          <w:p w:rsidR="00BC56A2" w:rsidRPr="00837D3D" w:rsidP="00837D3D" w14:paraId="193022D4" w14:textId="77777777">
            <w:pPr>
              <w:rPr>
                <w:sz w:val="20"/>
              </w:rPr>
            </w:pPr>
            <w:r w:rsidRPr="00837D3D">
              <w:rPr>
                <w:sz w:val="20"/>
              </w:rPr>
              <w:t>0.054% corresponding to P</w:t>
            </w:r>
            <w:r w:rsidRPr="00837D3D">
              <w:rPr>
                <w:sz w:val="20"/>
                <w:vertAlign w:val="subscript"/>
              </w:rPr>
              <w:t xml:space="preserve">pk </w:t>
            </w:r>
            <w:r w:rsidRPr="00837D3D">
              <w:rPr>
                <w:sz w:val="20"/>
              </w:rPr>
              <w:t>= 1.09</w:t>
            </w:r>
          </w:p>
        </w:tc>
      </w:tr>
      <w:tr w14:paraId="512192A2" w14:textId="77777777">
        <w:tblPrEx>
          <w:tblW w:w="10142" w:type="dxa"/>
          <w:tblInd w:w="-432" w:type="dxa"/>
          <w:tblLayout w:type="fixed"/>
          <w:tblLook w:val="04A0"/>
        </w:tblPrEx>
        <w:trPr>
          <w:trHeight w:val="81"/>
        </w:trPr>
        <w:tc>
          <w:tcPr>
            <w:tcW w:w="2049" w:type="dxa"/>
            <w:vMerge/>
            <w:vAlign w:val="center"/>
          </w:tcPr>
          <w:p w:rsidR="00BC56A2" w:rsidRPr="00837D3D" w:rsidP="00837D3D" w14:paraId="454357AF" w14:textId="77777777">
            <w:pPr>
              <w:rPr>
                <w:sz w:val="20"/>
              </w:rPr>
            </w:pPr>
          </w:p>
        </w:tc>
        <w:tc>
          <w:tcPr>
            <w:tcW w:w="1324" w:type="dxa"/>
            <w:vMerge/>
            <w:vAlign w:val="center"/>
          </w:tcPr>
          <w:p w:rsidR="00BC56A2" w:rsidRPr="00837D3D" w:rsidP="00837D3D" w14:paraId="43879FE1" w14:textId="77777777">
            <w:pPr>
              <w:rPr>
                <w:sz w:val="20"/>
              </w:rPr>
            </w:pPr>
          </w:p>
        </w:tc>
        <w:tc>
          <w:tcPr>
            <w:tcW w:w="756" w:type="dxa"/>
            <w:vMerge/>
            <w:vAlign w:val="center"/>
          </w:tcPr>
          <w:p w:rsidR="00BC56A2" w:rsidRPr="00837D3D" w:rsidP="00837D3D" w14:paraId="450D4345" w14:textId="77777777">
            <w:pPr>
              <w:rPr>
                <w:sz w:val="20"/>
              </w:rPr>
            </w:pPr>
          </w:p>
        </w:tc>
        <w:tc>
          <w:tcPr>
            <w:tcW w:w="999" w:type="dxa"/>
          </w:tcPr>
          <w:p w:rsidR="00BC56A2" w:rsidRPr="00837D3D" w:rsidP="00837D3D" w14:paraId="28DA8150" w14:textId="77777777">
            <w:pPr>
              <w:rPr>
                <w:sz w:val="20"/>
              </w:rPr>
            </w:pPr>
            <w:r w:rsidRPr="00837D3D">
              <w:rPr>
                <w:sz w:val="20"/>
              </w:rPr>
              <w:t>n=20</w:t>
            </w:r>
          </w:p>
        </w:tc>
        <w:tc>
          <w:tcPr>
            <w:tcW w:w="836" w:type="dxa"/>
            <w:vAlign w:val="center"/>
          </w:tcPr>
          <w:p w:rsidR="00BC56A2" w:rsidRPr="00837D3D" w:rsidP="00837D3D" w14:paraId="619FAC55" w14:textId="77777777">
            <w:pPr>
              <w:rPr>
                <w:sz w:val="20"/>
              </w:rPr>
            </w:pPr>
            <w:r w:rsidRPr="00837D3D">
              <w:rPr>
                <w:sz w:val="20"/>
              </w:rPr>
              <w:t>0.76</w:t>
            </w:r>
          </w:p>
        </w:tc>
        <w:tc>
          <w:tcPr>
            <w:tcW w:w="756" w:type="dxa"/>
            <w:vAlign w:val="center"/>
          </w:tcPr>
          <w:p w:rsidR="00BC56A2" w:rsidRPr="00837D3D" w:rsidP="00837D3D" w14:paraId="45A323A7" w14:textId="77777777">
            <w:pPr>
              <w:rPr>
                <w:sz w:val="20"/>
              </w:rPr>
            </w:pPr>
            <w:r w:rsidRPr="00837D3D">
              <w:rPr>
                <w:sz w:val="20"/>
              </w:rPr>
              <w:t>0.82</w:t>
            </w:r>
          </w:p>
        </w:tc>
        <w:tc>
          <w:tcPr>
            <w:tcW w:w="3422" w:type="dxa"/>
            <w:vAlign w:val="center"/>
          </w:tcPr>
          <w:p w:rsidR="00BC56A2" w:rsidRPr="00837D3D" w:rsidP="00837D3D" w14:paraId="1E9B914A" w14:textId="77777777">
            <w:pPr>
              <w:rPr>
                <w:sz w:val="20"/>
              </w:rPr>
            </w:pPr>
            <w:r w:rsidRPr="00837D3D">
              <w:rPr>
                <w:sz w:val="20"/>
              </w:rPr>
              <w:t>0.15% corresponding to P</w:t>
            </w:r>
            <w:r w:rsidRPr="00837D3D">
              <w:rPr>
                <w:sz w:val="20"/>
                <w:vertAlign w:val="subscript"/>
              </w:rPr>
              <w:t xml:space="preserve">pk </w:t>
            </w:r>
            <w:r w:rsidRPr="00837D3D">
              <w:rPr>
                <w:sz w:val="20"/>
              </w:rPr>
              <w:t>= 0.99</w:t>
            </w:r>
          </w:p>
        </w:tc>
      </w:tr>
      <w:tr w14:paraId="6974CDA8" w14:textId="77777777">
        <w:tblPrEx>
          <w:tblW w:w="10142" w:type="dxa"/>
          <w:tblInd w:w="-432" w:type="dxa"/>
          <w:tblLayout w:type="fixed"/>
          <w:tblLook w:val="04A0"/>
        </w:tblPrEx>
        <w:trPr>
          <w:trHeight w:val="81"/>
        </w:trPr>
        <w:tc>
          <w:tcPr>
            <w:tcW w:w="2049" w:type="dxa"/>
            <w:vMerge/>
            <w:tcBorders>
              <w:bottom w:val="single" w:sz="8" w:space="0" w:color="auto"/>
            </w:tcBorders>
            <w:vAlign w:val="center"/>
          </w:tcPr>
          <w:p w:rsidR="00BC56A2" w:rsidRPr="00837D3D" w:rsidP="00837D3D" w14:paraId="10032706" w14:textId="77777777">
            <w:pPr>
              <w:rPr>
                <w:sz w:val="20"/>
              </w:rPr>
            </w:pPr>
          </w:p>
        </w:tc>
        <w:tc>
          <w:tcPr>
            <w:tcW w:w="1324" w:type="dxa"/>
            <w:vMerge/>
            <w:tcBorders>
              <w:bottom w:val="single" w:sz="8" w:space="0" w:color="auto"/>
            </w:tcBorders>
            <w:vAlign w:val="center"/>
          </w:tcPr>
          <w:p w:rsidR="00BC56A2" w:rsidRPr="00837D3D" w:rsidP="00837D3D" w14:paraId="63FCC04F" w14:textId="77777777">
            <w:pPr>
              <w:rPr>
                <w:sz w:val="20"/>
              </w:rPr>
            </w:pPr>
          </w:p>
        </w:tc>
        <w:tc>
          <w:tcPr>
            <w:tcW w:w="756" w:type="dxa"/>
            <w:vMerge/>
            <w:tcBorders>
              <w:bottom w:val="single" w:sz="8" w:space="0" w:color="auto"/>
            </w:tcBorders>
            <w:vAlign w:val="center"/>
          </w:tcPr>
          <w:p w:rsidR="00BC56A2" w:rsidRPr="00837D3D" w:rsidP="00837D3D" w14:paraId="726A7A34" w14:textId="77777777">
            <w:pPr>
              <w:rPr>
                <w:sz w:val="20"/>
              </w:rPr>
            </w:pPr>
          </w:p>
        </w:tc>
        <w:tc>
          <w:tcPr>
            <w:tcW w:w="999" w:type="dxa"/>
            <w:tcBorders>
              <w:bottom w:val="single" w:sz="8" w:space="0" w:color="auto"/>
            </w:tcBorders>
          </w:tcPr>
          <w:p w:rsidR="00BC56A2" w:rsidRPr="00837D3D" w:rsidP="00837D3D" w14:paraId="79DEFF1E" w14:textId="77777777">
            <w:pPr>
              <w:rPr>
                <w:sz w:val="20"/>
              </w:rPr>
            </w:pPr>
            <w:r w:rsidRPr="00837D3D">
              <w:rPr>
                <w:sz w:val="20"/>
              </w:rPr>
              <w:t>n=30</w:t>
            </w:r>
          </w:p>
        </w:tc>
        <w:tc>
          <w:tcPr>
            <w:tcW w:w="836" w:type="dxa"/>
            <w:tcBorders>
              <w:bottom w:val="single" w:sz="8" w:space="0" w:color="auto"/>
            </w:tcBorders>
            <w:vAlign w:val="center"/>
          </w:tcPr>
          <w:p w:rsidR="00BC56A2" w:rsidRPr="00837D3D" w:rsidP="00837D3D" w14:paraId="7AEE2731" w14:textId="77777777">
            <w:pPr>
              <w:rPr>
                <w:sz w:val="20"/>
              </w:rPr>
            </w:pPr>
            <w:r w:rsidRPr="00837D3D">
              <w:rPr>
                <w:sz w:val="20"/>
              </w:rPr>
              <w:t>0.71</w:t>
            </w:r>
          </w:p>
        </w:tc>
        <w:tc>
          <w:tcPr>
            <w:tcW w:w="756" w:type="dxa"/>
            <w:tcBorders>
              <w:bottom w:val="single" w:sz="8" w:space="0" w:color="auto"/>
            </w:tcBorders>
            <w:vAlign w:val="center"/>
          </w:tcPr>
          <w:p w:rsidR="00BC56A2" w:rsidRPr="00837D3D" w:rsidP="00837D3D" w14:paraId="1D628866" w14:textId="77777777">
            <w:pPr>
              <w:rPr>
                <w:sz w:val="20"/>
              </w:rPr>
            </w:pPr>
            <w:r w:rsidRPr="00837D3D">
              <w:rPr>
                <w:sz w:val="20"/>
              </w:rPr>
              <w:t>0.79</w:t>
            </w:r>
          </w:p>
        </w:tc>
        <w:tc>
          <w:tcPr>
            <w:tcW w:w="3422" w:type="dxa"/>
            <w:tcBorders>
              <w:bottom w:val="single" w:sz="8" w:space="0" w:color="auto"/>
            </w:tcBorders>
            <w:vAlign w:val="center"/>
          </w:tcPr>
          <w:p w:rsidR="00BC56A2" w:rsidRPr="00837D3D" w:rsidP="00837D3D" w14:paraId="681785CC" w14:textId="77777777">
            <w:pPr>
              <w:rPr>
                <w:sz w:val="20"/>
              </w:rPr>
            </w:pPr>
            <w:r w:rsidRPr="00837D3D">
              <w:rPr>
                <w:sz w:val="20"/>
              </w:rPr>
              <w:t>0.38% corresponding to P</w:t>
            </w:r>
            <w:r w:rsidRPr="00837D3D">
              <w:rPr>
                <w:sz w:val="20"/>
                <w:vertAlign w:val="subscript"/>
              </w:rPr>
              <w:t xml:space="preserve">pk </w:t>
            </w:r>
            <w:r w:rsidRPr="00837D3D">
              <w:rPr>
                <w:sz w:val="20"/>
              </w:rPr>
              <w:t>= 0.89</w:t>
            </w:r>
          </w:p>
        </w:tc>
      </w:tr>
      <w:tr w14:paraId="2876FD59" w14:textId="77777777">
        <w:tblPrEx>
          <w:tblW w:w="10142" w:type="dxa"/>
          <w:tblInd w:w="-432" w:type="dxa"/>
          <w:tblLayout w:type="fixed"/>
          <w:tblLook w:val="04A0"/>
        </w:tblPrEx>
        <w:trPr>
          <w:trHeight w:val="137"/>
        </w:trPr>
        <w:tc>
          <w:tcPr>
            <w:tcW w:w="2049" w:type="dxa"/>
            <w:vMerge w:val="restart"/>
            <w:tcBorders>
              <w:top w:val="single" w:sz="8" w:space="0" w:color="auto"/>
              <w:bottom w:val="single" w:sz="6" w:space="0" w:color="auto"/>
            </w:tcBorders>
            <w:vAlign w:val="center"/>
          </w:tcPr>
          <w:p w:rsidR="00BC56A2" w:rsidRPr="00837D3D" w:rsidP="00837D3D" w14:paraId="41028B1C" w14:textId="77777777">
            <w:pPr>
              <w:rPr>
                <w:sz w:val="20"/>
                <w:vertAlign w:val="superscript"/>
              </w:rPr>
            </w:pPr>
            <w:r w:rsidRPr="00837D3D">
              <w:rPr>
                <w:sz w:val="20"/>
              </w:rPr>
              <w:t>CTS-S2</w:t>
            </w:r>
            <w:r w:rsidRPr="00837D3D">
              <w:rPr>
                <w:sz w:val="20"/>
                <w:vertAlign w:val="superscript"/>
              </w:rPr>
              <w:t>[1]</w:t>
            </w:r>
          </w:p>
          <w:p w:rsidR="00BC56A2" w:rsidRPr="00837D3D" w:rsidP="00837D3D" w14:paraId="23960BAF" w14:textId="77777777">
            <w:pPr>
              <w:rPr>
                <w:sz w:val="20"/>
                <w:vertAlign w:val="superscript"/>
              </w:rPr>
            </w:pPr>
            <w:r w:rsidRPr="00837D3D">
              <w:rPr>
                <w:sz w:val="20"/>
              </w:rPr>
              <w:t>CTQ-SEV8</w:t>
            </w:r>
            <w:r w:rsidRPr="00837D3D">
              <w:rPr>
                <w:sz w:val="20"/>
                <w:vertAlign w:val="superscript"/>
              </w:rPr>
              <w:t>[2]</w:t>
            </w:r>
          </w:p>
          <w:p w:rsidR="008D2154" w:rsidRPr="00837D3D" w:rsidP="00837D3D" w14:paraId="199F8C4A" w14:textId="6AD8FFBE">
            <w:pPr>
              <w:rPr>
                <w:sz w:val="20"/>
              </w:rPr>
            </w:pPr>
            <w:r w:rsidRPr="00837D3D">
              <w:rPr>
                <w:sz w:val="20"/>
              </w:rPr>
              <w:t>CTQ-S</w:t>
            </w:r>
          </w:p>
        </w:tc>
        <w:tc>
          <w:tcPr>
            <w:tcW w:w="1324" w:type="dxa"/>
            <w:vMerge w:val="restart"/>
            <w:tcBorders>
              <w:top w:val="single" w:sz="8" w:space="0" w:color="auto"/>
              <w:bottom w:val="single" w:sz="6" w:space="0" w:color="auto"/>
            </w:tcBorders>
            <w:vAlign w:val="center"/>
          </w:tcPr>
          <w:p w:rsidR="00BC56A2" w:rsidRPr="00837D3D" w:rsidP="00837D3D" w14:paraId="18D5A191" w14:textId="77777777">
            <w:pPr>
              <w:rPr>
                <w:sz w:val="20"/>
              </w:rPr>
            </w:pPr>
            <w:r w:rsidRPr="00837D3D">
              <w:rPr>
                <w:sz w:val="20"/>
              </w:rPr>
              <w:t>90%</w:t>
            </w:r>
          </w:p>
        </w:tc>
        <w:tc>
          <w:tcPr>
            <w:tcW w:w="756" w:type="dxa"/>
            <w:vMerge w:val="restart"/>
            <w:tcBorders>
              <w:top w:val="single" w:sz="8" w:space="0" w:color="auto"/>
              <w:bottom w:val="single" w:sz="6" w:space="0" w:color="auto"/>
            </w:tcBorders>
            <w:vAlign w:val="center"/>
          </w:tcPr>
          <w:p w:rsidR="00BC56A2" w:rsidRPr="00837D3D" w:rsidP="00837D3D" w14:paraId="56A3F15F" w14:textId="77777777">
            <w:pPr>
              <w:rPr>
                <w:sz w:val="20"/>
              </w:rPr>
            </w:pPr>
            <w:r w:rsidRPr="00837D3D">
              <w:rPr>
                <w:sz w:val="20"/>
              </w:rPr>
              <w:t>10%</w:t>
            </w:r>
          </w:p>
        </w:tc>
        <w:tc>
          <w:tcPr>
            <w:tcW w:w="999" w:type="dxa"/>
            <w:tcBorders>
              <w:top w:val="single" w:sz="8" w:space="0" w:color="auto"/>
              <w:bottom w:val="single" w:sz="6" w:space="0" w:color="auto"/>
            </w:tcBorders>
          </w:tcPr>
          <w:p w:rsidR="00BC56A2" w:rsidRPr="00837D3D" w:rsidP="00837D3D" w14:paraId="6A6F9E1A" w14:textId="77777777">
            <w:pPr>
              <w:rPr>
                <w:sz w:val="20"/>
              </w:rPr>
            </w:pPr>
            <w:r w:rsidRPr="00837D3D">
              <w:rPr>
                <w:sz w:val="20"/>
              </w:rPr>
              <w:t>n=15</w:t>
            </w:r>
          </w:p>
        </w:tc>
        <w:tc>
          <w:tcPr>
            <w:tcW w:w="836" w:type="dxa"/>
            <w:tcBorders>
              <w:top w:val="single" w:sz="8" w:space="0" w:color="auto"/>
              <w:bottom w:val="single" w:sz="6" w:space="0" w:color="auto"/>
            </w:tcBorders>
            <w:vAlign w:val="center"/>
          </w:tcPr>
          <w:p w:rsidR="00BC56A2" w:rsidRPr="00837D3D" w:rsidP="00837D3D" w14:paraId="57114E6B" w14:textId="77777777">
            <w:pPr>
              <w:rPr>
                <w:sz w:val="20"/>
              </w:rPr>
            </w:pPr>
            <w:r w:rsidRPr="00837D3D">
              <w:rPr>
                <w:sz w:val="20"/>
              </w:rPr>
              <w:t>0.71</w:t>
            </w:r>
          </w:p>
        </w:tc>
        <w:tc>
          <w:tcPr>
            <w:tcW w:w="756" w:type="dxa"/>
            <w:tcBorders>
              <w:top w:val="single" w:sz="8" w:space="0" w:color="auto"/>
              <w:bottom w:val="single" w:sz="6" w:space="0" w:color="auto"/>
            </w:tcBorders>
            <w:vAlign w:val="center"/>
          </w:tcPr>
          <w:p w:rsidR="00BC56A2" w:rsidRPr="00837D3D" w:rsidP="00837D3D" w14:paraId="4DFA4C31" w14:textId="77777777">
            <w:pPr>
              <w:rPr>
                <w:sz w:val="20"/>
              </w:rPr>
            </w:pPr>
            <w:r w:rsidRPr="00837D3D">
              <w:rPr>
                <w:sz w:val="20"/>
              </w:rPr>
              <w:t>0.77</w:t>
            </w:r>
          </w:p>
        </w:tc>
        <w:tc>
          <w:tcPr>
            <w:tcW w:w="3422" w:type="dxa"/>
            <w:tcBorders>
              <w:top w:val="single" w:sz="8" w:space="0" w:color="auto"/>
              <w:bottom w:val="single" w:sz="6" w:space="0" w:color="auto"/>
            </w:tcBorders>
            <w:vAlign w:val="center"/>
          </w:tcPr>
          <w:p w:rsidR="00BC56A2" w:rsidRPr="00837D3D" w:rsidP="00837D3D" w14:paraId="1649CE2B" w14:textId="77777777">
            <w:pPr>
              <w:rPr>
                <w:sz w:val="20"/>
              </w:rPr>
            </w:pPr>
            <w:r w:rsidRPr="00837D3D">
              <w:rPr>
                <w:sz w:val="20"/>
              </w:rPr>
              <w:t>0.19% corresponding to P</w:t>
            </w:r>
            <w:r w:rsidRPr="00837D3D">
              <w:rPr>
                <w:sz w:val="20"/>
                <w:vertAlign w:val="subscript"/>
              </w:rPr>
              <w:t xml:space="preserve">pk </w:t>
            </w:r>
            <w:r w:rsidRPr="00837D3D">
              <w:rPr>
                <w:sz w:val="20"/>
              </w:rPr>
              <w:t>= 0.96</w:t>
            </w:r>
          </w:p>
        </w:tc>
      </w:tr>
      <w:tr w14:paraId="3AB5F7FD" w14:textId="77777777">
        <w:tblPrEx>
          <w:tblW w:w="10142" w:type="dxa"/>
          <w:tblInd w:w="-432" w:type="dxa"/>
          <w:tblLayout w:type="fixed"/>
          <w:tblLook w:val="04A0"/>
        </w:tblPrEx>
        <w:trPr>
          <w:trHeight w:val="137"/>
        </w:trPr>
        <w:tc>
          <w:tcPr>
            <w:tcW w:w="2049" w:type="dxa"/>
            <w:vMerge/>
            <w:tcBorders>
              <w:top w:val="single" w:sz="6" w:space="0" w:color="auto"/>
              <w:bottom w:val="single" w:sz="6" w:space="0" w:color="auto"/>
            </w:tcBorders>
            <w:vAlign w:val="center"/>
          </w:tcPr>
          <w:p w:rsidR="00BC56A2" w:rsidRPr="00837D3D" w:rsidP="00837D3D" w14:paraId="77E1FBDF" w14:textId="77777777">
            <w:pPr>
              <w:rPr>
                <w:sz w:val="20"/>
              </w:rPr>
            </w:pPr>
          </w:p>
        </w:tc>
        <w:tc>
          <w:tcPr>
            <w:tcW w:w="1324" w:type="dxa"/>
            <w:vMerge/>
            <w:tcBorders>
              <w:top w:val="single" w:sz="6" w:space="0" w:color="auto"/>
              <w:bottom w:val="single" w:sz="6" w:space="0" w:color="auto"/>
            </w:tcBorders>
            <w:vAlign w:val="center"/>
          </w:tcPr>
          <w:p w:rsidR="00BC56A2" w:rsidRPr="00837D3D" w:rsidP="00837D3D" w14:paraId="33889139" w14:textId="77777777">
            <w:pPr>
              <w:rPr>
                <w:sz w:val="20"/>
              </w:rPr>
            </w:pPr>
          </w:p>
        </w:tc>
        <w:tc>
          <w:tcPr>
            <w:tcW w:w="756" w:type="dxa"/>
            <w:vMerge/>
            <w:tcBorders>
              <w:top w:val="single" w:sz="6" w:space="0" w:color="auto"/>
              <w:bottom w:val="single" w:sz="6" w:space="0" w:color="auto"/>
            </w:tcBorders>
            <w:vAlign w:val="center"/>
          </w:tcPr>
          <w:p w:rsidR="00BC56A2" w:rsidRPr="00837D3D" w:rsidP="00837D3D" w14:paraId="19381140" w14:textId="77777777">
            <w:pPr>
              <w:rPr>
                <w:sz w:val="20"/>
              </w:rPr>
            </w:pPr>
          </w:p>
        </w:tc>
        <w:tc>
          <w:tcPr>
            <w:tcW w:w="999" w:type="dxa"/>
            <w:tcBorders>
              <w:top w:val="single" w:sz="6" w:space="0" w:color="auto"/>
              <w:bottom w:val="single" w:sz="6" w:space="0" w:color="auto"/>
            </w:tcBorders>
          </w:tcPr>
          <w:p w:rsidR="00BC56A2" w:rsidRPr="00837D3D" w:rsidP="00837D3D" w14:paraId="16FA7A0D" w14:textId="77777777">
            <w:pPr>
              <w:rPr>
                <w:sz w:val="20"/>
              </w:rPr>
            </w:pPr>
            <w:r w:rsidRPr="00837D3D">
              <w:rPr>
                <w:sz w:val="20"/>
              </w:rPr>
              <w:t>n=20</w:t>
            </w:r>
          </w:p>
        </w:tc>
        <w:tc>
          <w:tcPr>
            <w:tcW w:w="836" w:type="dxa"/>
            <w:tcBorders>
              <w:top w:val="single" w:sz="6" w:space="0" w:color="auto"/>
              <w:bottom w:val="single" w:sz="6" w:space="0" w:color="auto"/>
            </w:tcBorders>
            <w:vAlign w:val="center"/>
          </w:tcPr>
          <w:p w:rsidR="00BC56A2" w:rsidRPr="00837D3D" w:rsidP="00837D3D" w14:paraId="2229083C" w14:textId="77777777">
            <w:pPr>
              <w:rPr>
                <w:sz w:val="20"/>
              </w:rPr>
            </w:pPr>
            <w:r w:rsidRPr="00837D3D">
              <w:rPr>
                <w:sz w:val="20"/>
              </w:rPr>
              <w:t>0.66</w:t>
            </w:r>
          </w:p>
        </w:tc>
        <w:tc>
          <w:tcPr>
            <w:tcW w:w="756" w:type="dxa"/>
            <w:tcBorders>
              <w:top w:val="single" w:sz="6" w:space="0" w:color="auto"/>
              <w:bottom w:val="single" w:sz="6" w:space="0" w:color="auto"/>
            </w:tcBorders>
            <w:vAlign w:val="center"/>
          </w:tcPr>
          <w:p w:rsidR="00BC56A2" w:rsidRPr="00837D3D" w:rsidP="00837D3D" w14:paraId="1B2DB287" w14:textId="77777777">
            <w:pPr>
              <w:rPr>
                <w:sz w:val="20"/>
              </w:rPr>
            </w:pPr>
            <w:r w:rsidRPr="00837D3D">
              <w:rPr>
                <w:sz w:val="20"/>
              </w:rPr>
              <w:t>0.73</w:t>
            </w:r>
          </w:p>
        </w:tc>
        <w:tc>
          <w:tcPr>
            <w:tcW w:w="3422" w:type="dxa"/>
            <w:tcBorders>
              <w:top w:val="single" w:sz="6" w:space="0" w:color="auto"/>
              <w:bottom w:val="single" w:sz="6" w:space="0" w:color="auto"/>
            </w:tcBorders>
            <w:vAlign w:val="center"/>
          </w:tcPr>
          <w:p w:rsidR="00BC56A2" w:rsidRPr="00837D3D" w:rsidP="00837D3D" w14:paraId="43269885" w14:textId="77777777">
            <w:pPr>
              <w:rPr>
                <w:sz w:val="20"/>
              </w:rPr>
            </w:pPr>
            <w:r w:rsidRPr="00837D3D">
              <w:rPr>
                <w:sz w:val="20"/>
              </w:rPr>
              <w:t>0.46% corresponding to P</w:t>
            </w:r>
            <w:r w:rsidRPr="00837D3D">
              <w:rPr>
                <w:sz w:val="20"/>
                <w:vertAlign w:val="subscript"/>
              </w:rPr>
              <w:t xml:space="preserve">pk </w:t>
            </w:r>
            <w:r w:rsidRPr="00837D3D">
              <w:rPr>
                <w:sz w:val="20"/>
              </w:rPr>
              <w:t>= 0.87</w:t>
            </w:r>
          </w:p>
        </w:tc>
      </w:tr>
      <w:tr w14:paraId="70FCC59D" w14:textId="77777777">
        <w:tblPrEx>
          <w:tblW w:w="10142" w:type="dxa"/>
          <w:tblInd w:w="-432" w:type="dxa"/>
          <w:tblLayout w:type="fixed"/>
          <w:tblLook w:val="04A0"/>
        </w:tblPrEx>
        <w:trPr>
          <w:trHeight w:val="137"/>
        </w:trPr>
        <w:tc>
          <w:tcPr>
            <w:tcW w:w="2049" w:type="dxa"/>
            <w:vMerge/>
            <w:tcBorders>
              <w:top w:val="single" w:sz="6" w:space="0" w:color="auto"/>
              <w:bottom w:val="single" w:sz="8" w:space="0" w:color="auto"/>
            </w:tcBorders>
            <w:vAlign w:val="center"/>
          </w:tcPr>
          <w:p w:rsidR="00BC56A2" w:rsidRPr="00837D3D" w:rsidP="00837D3D" w14:paraId="71F77E4C" w14:textId="77777777">
            <w:pPr>
              <w:rPr>
                <w:sz w:val="20"/>
              </w:rPr>
            </w:pPr>
          </w:p>
        </w:tc>
        <w:tc>
          <w:tcPr>
            <w:tcW w:w="1324" w:type="dxa"/>
            <w:vMerge/>
            <w:tcBorders>
              <w:top w:val="single" w:sz="6" w:space="0" w:color="auto"/>
              <w:bottom w:val="single" w:sz="8" w:space="0" w:color="auto"/>
            </w:tcBorders>
            <w:vAlign w:val="center"/>
          </w:tcPr>
          <w:p w:rsidR="00BC56A2" w:rsidRPr="00837D3D" w:rsidP="00837D3D" w14:paraId="3EB51E33" w14:textId="77777777">
            <w:pPr>
              <w:rPr>
                <w:sz w:val="20"/>
              </w:rPr>
            </w:pPr>
          </w:p>
        </w:tc>
        <w:tc>
          <w:tcPr>
            <w:tcW w:w="756" w:type="dxa"/>
            <w:vMerge/>
            <w:tcBorders>
              <w:top w:val="single" w:sz="6" w:space="0" w:color="auto"/>
              <w:bottom w:val="single" w:sz="8" w:space="0" w:color="auto"/>
            </w:tcBorders>
            <w:vAlign w:val="center"/>
          </w:tcPr>
          <w:p w:rsidR="00BC56A2" w:rsidRPr="00837D3D" w:rsidP="00837D3D" w14:paraId="45545648" w14:textId="77777777">
            <w:pPr>
              <w:rPr>
                <w:sz w:val="20"/>
              </w:rPr>
            </w:pPr>
          </w:p>
        </w:tc>
        <w:tc>
          <w:tcPr>
            <w:tcW w:w="999" w:type="dxa"/>
            <w:tcBorders>
              <w:top w:val="single" w:sz="6" w:space="0" w:color="auto"/>
              <w:bottom w:val="single" w:sz="8" w:space="0" w:color="auto"/>
            </w:tcBorders>
          </w:tcPr>
          <w:p w:rsidR="00BC56A2" w:rsidRPr="00837D3D" w:rsidP="00837D3D" w14:paraId="4F7ED422" w14:textId="77777777">
            <w:pPr>
              <w:rPr>
                <w:sz w:val="20"/>
              </w:rPr>
            </w:pPr>
            <w:r w:rsidRPr="00837D3D">
              <w:rPr>
                <w:sz w:val="20"/>
              </w:rPr>
              <w:t>n=30</w:t>
            </w:r>
          </w:p>
        </w:tc>
        <w:tc>
          <w:tcPr>
            <w:tcW w:w="836" w:type="dxa"/>
            <w:tcBorders>
              <w:top w:val="single" w:sz="6" w:space="0" w:color="auto"/>
              <w:bottom w:val="single" w:sz="8" w:space="0" w:color="auto"/>
            </w:tcBorders>
            <w:vAlign w:val="center"/>
          </w:tcPr>
          <w:p w:rsidR="00BC56A2" w:rsidRPr="00837D3D" w:rsidP="00837D3D" w14:paraId="4F9CFD3C" w14:textId="77777777">
            <w:pPr>
              <w:rPr>
                <w:sz w:val="20"/>
              </w:rPr>
            </w:pPr>
            <w:r w:rsidRPr="00837D3D">
              <w:rPr>
                <w:sz w:val="20"/>
              </w:rPr>
              <w:t>0.61</w:t>
            </w:r>
          </w:p>
        </w:tc>
        <w:tc>
          <w:tcPr>
            <w:tcW w:w="756" w:type="dxa"/>
            <w:tcBorders>
              <w:top w:val="single" w:sz="6" w:space="0" w:color="auto"/>
              <w:bottom w:val="single" w:sz="8" w:space="0" w:color="auto"/>
            </w:tcBorders>
            <w:vAlign w:val="center"/>
          </w:tcPr>
          <w:p w:rsidR="00BC56A2" w:rsidRPr="00837D3D" w:rsidP="00837D3D" w14:paraId="54ABBB51" w14:textId="77777777">
            <w:pPr>
              <w:rPr>
                <w:sz w:val="20"/>
              </w:rPr>
            </w:pPr>
            <w:r w:rsidRPr="00837D3D">
              <w:rPr>
                <w:sz w:val="20"/>
              </w:rPr>
              <w:t>0.70</w:t>
            </w:r>
          </w:p>
        </w:tc>
        <w:tc>
          <w:tcPr>
            <w:tcW w:w="3422" w:type="dxa"/>
            <w:tcBorders>
              <w:top w:val="single" w:sz="6" w:space="0" w:color="auto"/>
              <w:bottom w:val="single" w:sz="8" w:space="0" w:color="auto"/>
            </w:tcBorders>
            <w:vAlign w:val="center"/>
          </w:tcPr>
          <w:p w:rsidR="00BC56A2" w:rsidRPr="00837D3D" w:rsidP="00837D3D" w14:paraId="5B3DE811" w14:textId="77777777">
            <w:pPr>
              <w:rPr>
                <w:sz w:val="20"/>
              </w:rPr>
            </w:pPr>
            <w:r w:rsidRPr="00837D3D">
              <w:rPr>
                <w:sz w:val="20"/>
              </w:rPr>
              <w:t>1.0% corresponding to P</w:t>
            </w:r>
            <w:r w:rsidRPr="00837D3D">
              <w:rPr>
                <w:sz w:val="20"/>
                <w:vertAlign w:val="subscript"/>
              </w:rPr>
              <w:t xml:space="preserve">pk </w:t>
            </w:r>
            <w:r w:rsidRPr="00837D3D">
              <w:rPr>
                <w:sz w:val="20"/>
              </w:rPr>
              <w:t>= 0.77</w:t>
            </w:r>
          </w:p>
        </w:tc>
      </w:tr>
      <w:tr w14:paraId="2091F749" w14:textId="77777777">
        <w:tblPrEx>
          <w:tblW w:w="10142" w:type="dxa"/>
          <w:tblInd w:w="-432" w:type="dxa"/>
          <w:tblLayout w:type="fixed"/>
          <w:tblLook w:val="04A0"/>
        </w:tblPrEx>
        <w:trPr>
          <w:trHeight w:val="81"/>
        </w:trPr>
        <w:tc>
          <w:tcPr>
            <w:tcW w:w="2049" w:type="dxa"/>
            <w:vMerge w:val="restart"/>
            <w:tcBorders>
              <w:top w:val="single" w:sz="8" w:space="0" w:color="auto"/>
              <w:bottom w:val="single" w:sz="6" w:space="0" w:color="auto"/>
            </w:tcBorders>
            <w:vAlign w:val="center"/>
          </w:tcPr>
          <w:p w:rsidR="00BC56A2" w:rsidRPr="00837D3D" w:rsidP="00837D3D" w14:paraId="2C361864" w14:textId="77777777">
            <w:pPr>
              <w:rPr>
                <w:sz w:val="20"/>
                <w:vertAlign w:val="superscript"/>
              </w:rPr>
            </w:pPr>
            <w:r w:rsidRPr="00837D3D">
              <w:rPr>
                <w:sz w:val="20"/>
              </w:rPr>
              <w:t>CTQ-SEV5</w:t>
            </w:r>
            <w:r w:rsidRPr="00837D3D">
              <w:rPr>
                <w:sz w:val="20"/>
                <w:vertAlign w:val="superscript"/>
              </w:rPr>
              <w:t>[2]</w:t>
            </w:r>
          </w:p>
        </w:tc>
        <w:tc>
          <w:tcPr>
            <w:tcW w:w="1324" w:type="dxa"/>
            <w:vMerge w:val="restart"/>
            <w:tcBorders>
              <w:top w:val="single" w:sz="8" w:space="0" w:color="auto"/>
              <w:bottom w:val="single" w:sz="6" w:space="0" w:color="auto"/>
            </w:tcBorders>
            <w:vAlign w:val="center"/>
          </w:tcPr>
          <w:p w:rsidR="00BC56A2" w:rsidRPr="00837D3D" w:rsidP="00837D3D" w14:paraId="32526DA6" w14:textId="77777777">
            <w:pPr>
              <w:rPr>
                <w:sz w:val="20"/>
              </w:rPr>
            </w:pPr>
            <w:r w:rsidRPr="00837D3D">
              <w:rPr>
                <w:sz w:val="20"/>
              </w:rPr>
              <w:t>85%</w:t>
            </w:r>
          </w:p>
        </w:tc>
        <w:tc>
          <w:tcPr>
            <w:tcW w:w="756" w:type="dxa"/>
            <w:vMerge w:val="restart"/>
            <w:tcBorders>
              <w:top w:val="single" w:sz="8" w:space="0" w:color="auto"/>
              <w:bottom w:val="single" w:sz="6" w:space="0" w:color="auto"/>
            </w:tcBorders>
            <w:vAlign w:val="center"/>
          </w:tcPr>
          <w:p w:rsidR="00BC56A2" w:rsidRPr="00837D3D" w:rsidP="00837D3D" w14:paraId="1F45516C" w14:textId="77777777">
            <w:pPr>
              <w:rPr>
                <w:sz w:val="20"/>
              </w:rPr>
            </w:pPr>
            <w:r w:rsidRPr="00837D3D">
              <w:rPr>
                <w:sz w:val="20"/>
              </w:rPr>
              <w:t>15%</w:t>
            </w:r>
          </w:p>
        </w:tc>
        <w:tc>
          <w:tcPr>
            <w:tcW w:w="999" w:type="dxa"/>
            <w:tcBorders>
              <w:top w:val="single" w:sz="8" w:space="0" w:color="auto"/>
              <w:bottom w:val="single" w:sz="6" w:space="0" w:color="auto"/>
            </w:tcBorders>
          </w:tcPr>
          <w:p w:rsidR="00BC56A2" w:rsidRPr="00837D3D" w:rsidP="00837D3D" w14:paraId="41516717" w14:textId="77777777">
            <w:pPr>
              <w:rPr>
                <w:sz w:val="20"/>
              </w:rPr>
            </w:pPr>
            <w:r w:rsidRPr="00837D3D">
              <w:rPr>
                <w:sz w:val="20"/>
              </w:rPr>
              <w:t>n=15</w:t>
            </w:r>
          </w:p>
        </w:tc>
        <w:tc>
          <w:tcPr>
            <w:tcW w:w="836" w:type="dxa"/>
            <w:tcBorders>
              <w:top w:val="single" w:sz="8" w:space="0" w:color="auto"/>
              <w:bottom w:val="single" w:sz="6" w:space="0" w:color="auto"/>
            </w:tcBorders>
            <w:vAlign w:val="center"/>
          </w:tcPr>
          <w:p w:rsidR="00BC56A2" w:rsidRPr="00837D3D" w:rsidP="00837D3D" w14:paraId="6AECA270" w14:textId="77777777">
            <w:pPr>
              <w:rPr>
                <w:sz w:val="20"/>
              </w:rPr>
            </w:pPr>
            <w:r w:rsidRPr="00837D3D">
              <w:rPr>
                <w:sz w:val="20"/>
              </w:rPr>
              <w:t>0.60</w:t>
            </w:r>
          </w:p>
        </w:tc>
        <w:tc>
          <w:tcPr>
            <w:tcW w:w="756" w:type="dxa"/>
            <w:tcBorders>
              <w:top w:val="single" w:sz="8" w:space="0" w:color="auto"/>
              <w:bottom w:val="single" w:sz="6" w:space="0" w:color="auto"/>
            </w:tcBorders>
            <w:vAlign w:val="center"/>
          </w:tcPr>
          <w:p w:rsidR="00BC56A2" w:rsidRPr="00837D3D" w:rsidP="00837D3D" w14:paraId="13208EAA" w14:textId="77777777">
            <w:pPr>
              <w:rPr>
                <w:sz w:val="20"/>
              </w:rPr>
            </w:pPr>
            <w:r w:rsidRPr="00837D3D">
              <w:rPr>
                <w:sz w:val="20"/>
              </w:rPr>
              <w:t>0.68</w:t>
            </w:r>
          </w:p>
        </w:tc>
        <w:tc>
          <w:tcPr>
            <w:tcW w:w="3422" w:type="dxa"/>
            <w:tcBorders>
              <w:top w:val="single" w:sz="8" w:space="0" w:color="auto"/>
              <w:bottom w:val="single" w:sz="6" w:space="0" w:color="auto"/>
            </w:tcBorders>
            <w:vAlign w:val="center"/>
          </w:tcPr>
          <w:p w:rsidR="00BC56A2" w:rsidRPr="00837D3D" w:rsidP="00837D3D" w14:paraId="630DB97E" w14:textId="77777777">
            <w:pPr>
              <w:rPr>
                <w:sz w:val="20"/>
              </w:rPr>
            </w:pPr>
            <w:r w:rsidRPr="00837D3D">
              <w:rPr>
                <w:sz w:val="20"/>
              </w:rPr>
              <w:t>0.66% corresponding to P</w:t>
            </w:r>
            <w:r w:rsidRPr="00837D3D">
              <w:rPr>
                <w:sz w:val="20"/>
                <w:vertAlign w:val="subscript"/>
              </w:rPr>
              <w:t xml:space="preserve">pk </w:t>
            </w:r>
            <w:r w:rsidRPr="00837D3D">
              <w:rPr>
                <w:sz w:val="20"/>
              </w:rPr>
              <w:t>= 0.83</w:t>
            </w:r>
          </w:p>
        </w:tc>
      </w:tr>
      <w:tr w14:paraId="2EB8732C" w14:textId="77777777">
        <w:tblPrEx>
          <w:tblW w:w="10142" w:type="dxa"/>
          <w:tblInd w:w="-432" w:type="dxa"/>
          <w:tblLayout w:type="fixed"/>
          <w:tblLook w:val="04A0"/>
        </w:tblPrEx>
        <w:trPr>
          <w:trHeight w:val="81"/>
        </w:trPr>
        <w:tc>
          <w:tcPr>
            <w:tcW w:w="2049" w:type="dxa"/>
            <w:vMerge/>
            <w:tcBorders>
              <w:top w:val="single" w:sz="6" w:space="0" w:color="auto"/>
              <w:bottom w:val="single" w:sz="6" w:space="0" w:color="auto"/>
            </w:tcBorders>
            <w:vAlign w:val="center"/>
          </w:tcPr>
          <w:p w:rsidR="00BC56A2" w:rsidRPr="00837D3D" w:rsidP="00837D3D" w14:paraId="1AC85D33" w14:textId="77777777">
            <w:pPr>
              <w:rPr>
                <w:sz w:val="20"/>
              </w:rPr>
            </w:pPr>
          </w:p>
        </w:tc>
        <w:tc>
          <w:tcPr>
            <w:tcW w:w="1324" w:type="dxa"/>
            <w:vMerge/>
            <w:tcBorders>
              <w:top w:val="single" w:sz="6" w:space="0" w:color="auto"/>
              <w:bottom w:val="single" w:sz="6" w:space="0" w:color="auto"/>
            </w:tcBorders>
            <w:vAlign w:val="center"/>
          </w:tcPr>
          <w:p w:rsidR="00BC56A2" w:rsidRPr="00837D3D" w:rsidP="00837D3D" w14:paraId="13AC316A" w14:textId="77777777">
            <w:pPr>
              <w:rPr>
                <w:sz w:val="20"/>
              </w:rPr>
            </w:pPr>
          </w:p>
        </w:tc>
        <w:tc>
          <w:tcPr>
            <w:tcW w:w="756" w:type="dxa"/>
            <w:vMerge/>
            <w:tcBorders>
              <w:top w:val="single" w:sz="6" w:space="0" w:color="auto"/>
              <w:bottom w:val="single" w:sz="6" w:space="0" w:color="auto"/>
            </w:tcBorders>
            <w:vAlign w:val="center"/>
          </w:tcPr>
          <w:p w:rsidR="00BC56A2" w:rsidRPr="00837D3D" w:rsidP="00837D3D" w14:paraId="4FF078B6" w14:textId="77777777">
            <w:pPr>
              <w:rPr>
                <w:sz w:val="20"/>
              </w:rPr>
            </w:pPr>
          </w:p>
        </w:tc>
        <w:tc>
          <w:tcPr>
            <w:tcW w:w="999" w:type="dxa"/>
            <w:tcBorders>
              <w:top w:val="single" w:sz="6" w:space="0" w:color="auto"/>
              <w:bottom w:val="single" w:sz="6" w:space="0" w:color="auto"/>
            </w:tcBorders>
          </w:tcPr>
          <w:p w:rsidR="00BC56A2" w:rsidRPr="00837D3D" w:rsidP="00837D3D" w14:paraId="5753C9B7" w14:textId="77777777">
            <w:pPr>
              <w:rPr>
                <w:sz w:val="20"/>
              </w:rPr>
            </w:pPr>
            <w:r w:rsidRPr="00837D3D">
              <w:rPr>
                <w:sz w:val="20"/>
              </w:rPr>
              <w:t>n=20</w:t>
            </w:r>
          </w:p>
        </w:tc>
        <w:tc>
          <w:tcPr>
            <w:tcW w:w="836" w:type="dxa"/>
            <w:tcBorders>
              <w:top w:val="single" w:sz="6" w:space="0" w:color="auto"/>
              <w:bottom w:val="single" w:sz="6" w:space="0" w:color="auto"/>
            </w:tcBorders>
            <w:vAlign w:val="center"/>
          </w:tcPr>
          <w:p w:rsidR="00BC56A2" w:rsidRPr="00837D3D" w:rsidP="00837D3D" w14:paraId="446E4507" w14:textId="77777777">
            <w:pPr>
              <w:rPr>
                <w:sz w:val="20"/>
              </w:rPr>
            </w:pPr>
            <w:r w:rsidRPr="00837D3D">
              <w:rPr>
                <w:sz w:val="20"/>
              </w:rPr>
              <w:t>0.56</w:t>
            </w:r>
          </w:p>
        </w:tc>
        <w:tc>
          <w:tcPr>
            <w:tcW w:w="756" w:type="dxa"/>
            <w:tcBorders>
              <w:top w:val="single" w:sz="6" w:space="0" w:color="auto"/>
              <w:bottom w:val="single" w:sz="6" w:space="0" w:color="auto"/>
            </w:tcBorders>
            <w:vAlign w:val="center"/>
          </w:tcPr>
          <w:p w:rsidR="00BC56A2" w:rsidRPr="00837D3D" w:rsidP="00837D3D" w14:paraId="555AE553" w14:textId="77777777">
            <w:pPr>
              <w:rPr>
                <w:sz w:val="20"/>
              </w:rPr>
            </w:pPr>
            <w:r w:rsidRPr="00837D3D">
              <w:rPr>
                <w:sz w:val="20"/>
              </w:rPr>
              <w:t>0.65</w:t>
            </w:r>
          </w:p>
        </w:tc>
        <w:tc>
          <w:tcPr>
            <w:tcW w:w="3422" w:type="dxa"/>
            <w:tcBorders>
              <w:top w:val="single" w:sz="6" w:space="0" w:color="auto"/>
              <w:bottom w:val="single" w:sz="6" w:space="0" w:color="auto"/>
            </w:tcBorders>
            <w:vAlign w:val="center"/>
          </w:tcPr>
          <w:p w:rsidR="00BC56A2" w:rsidRPr="00837D3D" w:rsidP="00837D3D" w14:paraId="1B1C7B72" w14:textId="77777777">
            <w:pPr>
              <w:rPr>
                <w:sz w:val="20"/>
              </w:rPr>
            </w:pPr>
            <w:r w:rsidRPr="00837D3D">
              <w:rPr>
                <w:sz w:val="20"/>
              </w:rPr>
              <w:t>1.2% corresponding to P</w:t>
            </w:r>
            <w:r w:rsidRPr="00837D3D">
              <w:rPr>
                <w:sz w:val="20"/>
                <w:vertAlign w:val="subscript"/>
              </w:rPr>
              <w:t xml:space="preserve">pk </w:t>
            </w:r>
            <w:r w:rsidRPr="00837D3D">
              <w:rPr>
                <w:sz w:val="20"/>
              </w:rPr>
              <w:t>= 0.75</w:t>
            </w:r>
          </w:p>
        </w:tc>
      </w:tr>
      <w:tr w14:paraId="580B71BC" w14:textId="77777777">
        <w:tblPrEx>
          <w:tblW w:w="10142" w:type="dxa"/>
          <w:tblInd w:w="-432" w:type="dxa"/>
          <w:tblLayout w:type="fixed"/>
          <w:tblLook w:val="04A0"/>
        </w:tblPrEx>
        <w:trPr>
          <w:trHeight w:val="81"/>
        </w:trPr>
        <w:tc>
          <w:tcPr>
            <w:tcW w:w="2049" w:type="dxa"/>
            <w:vMerge/>
            <w:tcBorders>
              <w:top w:val="single" w:sz="6" w:space="0" w:color="auto"/>
              <w:bottom w:val="single" w:sz="8" w:space="0" w:color="auto"/>
            </w:tcBorders>
            <w:vAlign w:val="center"/>
          </w:tcPr>
          <w:p w:rsidR="00BC56A2" w:rsidRPr="00837D3D" w:rsidP="00837D3D" w14:paraId="75271FA5" w14:textId="77777777">
            <w:pPr>
              <w:rPr>
                <w:sz w:val="20"/>
              </w:rPr>
            </w:pPr>
          </w:p>
        </w:tc>
        <w:tc>
          <w:tcPr>
            <w:tcW w:w="1324" w:type="dxa"/>
            <w:vMerge/>
            <w:tcBorders>
              <w:top w:val="single" w:sz="6" w:space="0" w:color="auto"/>
              <w:bottom w:val="single" w:sz="8" w:space="0" w:color="auto"/>
            </w:tcBorders>
            <w:vAlign w:val="center"/>
          </w:tcPr>
          <w:p w:rsidR="00BC56A2" w:rsidRPr="00837D3D" w:rsidP="00837D3D" w14:paraId="78F5F3C6" w14:textId="77777777">
            <w:pPr>
              <w:rPr>
                <w:sz w:val="20"/>
              </w:rPr>
            </w:pPr>
          </w:p>
        </w:tc>
        <w:tc>
          <w:tcPr>
            <w:tcW w:w="756" w:type="dxa"/>
            <w:vMerge/>
            <w:tcBorders>
              <w:top w:val="single" w:sz="6" w:space="0" w:color="auto"/>
              <w:bottom w:val="single" w:sz="8" w:space="0" w:color="auto"/>
            </w:tcBorders>
            <w:vAlign w:val="center"/>
          </w:tcPr>
          <w:p w:rsidR="00BC56A2" w:rsidRPr="00837D3D" w:rsidP="00837D3D" w14:paraId="0E95F66F" w14:textId="77777777">
            <w:pPr>
              <w:rPr>
                <w:sz w:val="20"/>
              </w:rPr>
            </w:pPr>
          </w:p>
        </w:tc>
        <w:tc>
          <w:tcPr>
            <w:tcW w:w="999" w:type="dxa"/>
            <w:tcBorders>
              <w:top w:val="single" w:sz="6" w:space="0" w:color="auto"/>
              <w:bottom w:val="single" w:sz="8" w:space="0" w:color="auto"/>
            </w:tcBorders>
          </w:tcPr>
          <w:p w:rsidR="00BC56A2" w:rsidRPr="00837D3D" w:rsidP="00837D3D" w14:paraId="2A1BAB69" w14:textId="77777777">
            <w:pPr>
              <w:rPr>
                <w:sz w:val="20"/>
              </w:rPr>
            </w:pPr>
            <w:r w:rsidRPr="00837D3D">
              <w:rPr>
                <w:sz w:val="20"/>
              </w:rPr>
              <w:t>n=30</w:t>
            </w:r>
          </w:p>
        </w:tc>
        <w:tc>
          <w:tcPr>
            <w:tcW w:w="836" w:type="dxa"/>
            <w:tcBorders>
              <w:top w:val="single" w:sz="6" w:space="0" w:color="auto"/>
              <w:bottom w:val="single" w:sz="8" w:space="0" w:color="auto"/>
            </w:tcBorders>
            <w:vAlign w:val="center"/>
          </w:tcPr>
          <w:p w:rsidR="00BC56A2" w:rsidRPr="00837D3D" w:rsidP="00837D3D" w14:paraId="028B9FA2" w14:textId="77777777">
            <w:pPr>
              <w:rPr>
                <w:sz w:val="20"/>
              </w:rPr>
            </w:pPr>
            <w:r w:rsidRPr="00837D3D">
              <w:rPr>
                <w:sz w:val="20"/>
              </w:rPr>
              <w:t>0.51</w:t>
            </w:r>
          </w:p>
        </w:tc>
        <w:tc>
          <w:tcPr>
            <w:tcW w:w="756" w:type="dxa"/>
            <w:tcBorders>
              <w:top w:val="single" w:sz="6" w:space="0" w:color="auto"/>
              <w:bottom w:val="single" w:sz="8" w:space="0" w:color="auto"/>
            </w:tcBorders>
            <w:vAlign w:val="center"/>
          </w:tcPr>
          <w:p w:rsidR="00BC56A2" w:rsidRPr="00837D3D" w:rsidP="00837D3D" w14:paraId="4177BE14" w14:textId="77777777">
            <w:pPr>
              <w:rPr>
                <w:sz w:val="20"/>
              </w:rPr>
            </w:pPr>
            <w:r w:rsidRPr="00837D3D">
              <w:rPr>
                <w:sz w:val="20"/>
              </w:rPr>
              <w:t>0.61</w:t>
            </w:r>
          </w:p>
        </w:tc>
        <w:tc>
          <w:tcPr>
            <w:tcW w:w="3422" w:type="dxa"/>
            <w:tcBorders>
              <w:top w:val="single" w:sz="6" w:space="0" w:color="auto"/>
              <w:bottom w:val="single" w:sz="8" w:space="0" w:color="auto"/>
            </w:tcBorders>
            <w:vAlign w:val="center"/>
          </w:tcPr>
          <w:p w:rsidR="00BC56A2" w:rsidRPr="00837D3D" w:rsidP="00837D3D" w14:paraId="29C3CFE6" w14:textId="77777777">
            <w:pPr>
              <w:rPr>
                <w:sz w:val="20"/>
              </w:rPr>
            </w:pPr>
            <w:r w:rsidRPr="00837D3D">
              <w:rPr>
                <w:sz w:val="20"/>
              </w:rPr>
              <w:t>2.5% corresponding to P</w:t>
            </w:r>
            <w:r w:rsidRPr="00837D3D">
              <w:rPr>
                <w:sz w:val="20"/>
                <w:vertAlign w:val="subscript"/>
              </w:rPr>
              <w:t xml:space="preserve">pk </w:t>
            </w:r>
            <w:r w:rsidRPr="00837D3D">
              <w:rPr>
                <w:sz w:val="20"/>
              </w:rPr>
              <w:t>= 0.66</w:t>
            </w:r>
          </w:p>
        </w:tc>
      </w:tr>
      <w:tr w14:paraId="1123B064" w14:textId="77777777">
        <w:tblPrEx>
          <w:tblW w:w="10142" w:type="dxa"/>
          <w:tblInd w:w="-432" w:type="dxa"/>
          <w:tblLayout w:type="fixed"/>
          <w:tblLook w:val="04A0"/>
        </w:tblPrEx>
        <w:trPr>
          <w:trHeight w:val="293"/>
        </w:trPr>
        <w:tc>
          <w:tcPr>
            <w:tcW w:w="2049" w:type="dxa"/>
            <w:vMerge w:val="restart"/>
            <w:tcBorders>
              <w:top w:val="single" w:sz="8" w:space="0" w:color="auto"/>
            </w:tcBorders>
            <w:vAlign w:val="center"/>
          </w:tcPr>
          <w:p w:rsidR="00BC56A2" w:rsidRPr="00837D3D" w:rsidP="00837D3D" w14:paraId="4A172891" w14:textId="77777777">
            <w:pPr>
              <w:rPr>
                <w:sz w:val="20"/>
                <w:vertAlign w:val="superscript"/>
              </w:rPr>
            </w:pPr>
            <w:r w:rsidRPr="00837D3D">
              <w:rPr>
                <w:sz w:val="20"/>
              </w:rPr>
              <w:t>CTQ-SEV3</w:t>
            </w:r>
            <w:r w:rsidRPr="00837D3D">
              <w:rPr>
                <w:sz w:val="20"/>
                <w:vertAlign w:val="superscript"/>
              </w:rPr>
              <w:t>[2]</w:t>
            </w:r>
          </w:p>
          <w:p w:rsidR="00BC56A2" w:rsidRPr="00837D3D" w:rsidP="00837D3D" w14:paraId="757C1266" w14:textId="77777777">
            <w:pPr>
              <w:rPr>
                <w:sz w:val="20"/>
                <w:vertAlign w:val="superscript"/>
              </w:rPr>
            </w:pPr>
            <w:r w:rsidRPr="00837D3D">
              <w:rPr>
                <w:sz w:val="20"/>
              </w:rPr>
              <w:t>CTQ-SEV1</w:t>
            </w:r>
            <w:r w:rsidRPr="00837D3D">
              <w:rPr>
                <w:sz w:val="20"/>
                <w:vertAlign w:val="superscript"/>
              </w:rPr>
              <w:t>[2]</w:t>
            </w:r>
          </w:p>
          <w:p w:rsidR="00BC56A2" w:rsidRPr="00837D3D" w:rsidP="00837D3D" w14:paraId="33DAB716" w14:textId="77777777">
            <w:pPr>
              <w:rPr>
                <w:sz w:val="20"/>
              </w:rPr>
            </w:pPr>
            <w:r w:rsidRPr="00837D3D">
              <w:rPr>
                <w:sz w:val="20"/>
              </w:rPr>
              <w:t>Key Process Indicator</w:t>
            </w:r>
          </w:p>
        </w:tc>
        <w:tc>
          <w:tcPr>
            <w:tcW w:w="1324" w:type="dxa"/>
            <w:vMerge w:val="restart"/>
            <w:tcBorders>
              <w:top w:val="single" w:sz="8" w:space="0" w:color="auto"/>
            </w:tcBorders>
            <w:vAlign w:val="center"/>
          </w:tcPr>
          <w:p w:rsidR="00BC56A2" w:rsidRPr="00837D3D" w:rsidP="00837D3D" w14:paraId="68AE8D59" w14:textId="77777777">
            <w:pPr>
              <w:rPr>
                <w:sz w:val="20"/>
              </w:rPr>
            </w:pPr>
            <w:r w:rsidRPr="00837D3D">
              <w:rPr>
                <w:sz w:val="20"/>
              </w:rPr>
              <w:t>80%</w:t>
            </w:r>
          </w:p>
        </w:tc>
        <w:tc>
          <w:tcPr>
            <w:tcW w:w="756" w:type="dxa"/>
            <w:vMerge w:val="restart"/>
            <w:tcBorders>
              <w:top w:val="single" w:sz="8" w:space="0" w:color="auto"/>
            </w:tcBorders>
            <w:vAlign w:val="center"/>
          </w:tcPr>
          <w:p w:rsidR="00BC56A2" w:rsidRPr="00837D3D" w:rsidP="00837D3D" w14:paraId="0B717EAE" w14:textId="77777777">
            <w:pPr>
              <w:rPr>
                <w:sz w:val="20"/>
              </w:rPr>
            </w:pPr>
            <w:r w:rsidRPr="00837D3D">
              <w:rPr>
                <w:sz w:val="20"/>
              </w:rPr>
              <w:t>20%</w:t>
            </w:r>
          </w:p>
        </w:tc>
        <w:tc>
          <w:tcPr>
            <w:tcW w:w="999" w:type="dxa"/>
            <w:tcBorders>
              <w:top w:val="single" w:sz="8" w:space="0" w:color="auto"/>
            </w:tcBorders>
            <w:vAlign w:val="center"/>
          </w:tcPr>
          <w:p w:rsidR="00BC56A2" w:rsidRPr="00837D3D" w:rsidP="00837D3D" w14:paraId="1C15898B" w14:textId="77777777">
            <w:pPr>
              <w:rPr>
                <w:sz w:val="20"/>
              </w:rPr>
            </w:pPr>
            <w:r w:rsidRPr="00837D3D">
              <w:rPr>
                <w:sz w:val="20"/>
              </w:rPr>
              <w:t>n=15</w:t>
            </w:r>
          </w:p>
        </w:tc>
        <w:tc>
          <w:tcPr>
            <w:tcW w:w="836" w:type="dxa"/>
            <w:tcBorders>
              <w:top w:val="single" w:sz="8" w:space="0" w:color="auto"/>
            </w:tcBorders>
            <w:vAlign w:val="center"/>
          </w:tcPr>
          <w:p w:rsidR="00BC56A2" w:rsidRPr="00837D3D" w:rsidP="00837D3D" w14:paraId="014A530C" w14:textId="77777777">
            <w:pPr>
              <w:rPr>
                <w:sz w:val="20"/>
              </w:rPr>
            </w:pPr>
            <w:r w:rsidRPr="00837D3D">
              <w:rPr>
                <w:sz w:val="20"/>
              </w:rPr>
              <w:t>0.51</w:t>
            </w:r>
          </w:p>
        </w:tc>
        <w:tc>
          <w:tcPr>
            <w:tcW w:w="756" w:type="dxa"/>
            <w:tcBorders>
              <w:top w:val="single" w:sz="8" w:space="0" w:color="auto"/>
            </w:tcBorders>
            <w:vAlign w:val="center"/>
          </w:tcPr>
          <w:p w:rsidR="00BC56A2" w:rsidRPr="00837D3D" w:rsidP="00837D3D" w14:paraId="1B6093A8" w14:textId="77777777">
            <w:pPr>
              <w:rPr>
                <w:sz w:val="20"/>
              </w:rPr>
            </w:pPr>
            <w:r w:rsidRPr="00837D3D">
              <w:rPr>
                <w:sz w:val="20"/>
              </w:rPr>
              <w:t>0.60</w:t>
            </w:r>
          </w:p>
        </w:tc>
        <w:tc>
          <w:tcPr>
            <w:tcW w:w="3422" w:type="dxa"/>
            <w:tcBorders>
              <w:top w:val="single" w:sz="8" w:space="0" w:color="auto"/>
            </w:tcBorders>
            <w:vAlign w:val="center"/>
          </w:tcPr>
          <w:p w:rsidR="00BC56A2" w:rsidRPr="00837D3D" w:rsidP="00837D3D" w14:paraId="630D5285" w14:textId="77777777">
            <w:pPr>
              <w:rPr>
                <w:sz w:val="20"/>
              </w:rPr>
            </w:pPr>
            <w:r w:rsidRPr="00837D3D">
              <w:rPr>
                <w:sz w:val="20"/>
              </w:rPr>
              <w:t>1.6% corresponding to P</w:t>
            </w:r>
            <w:r w:rsidRPr="00837D3D">
              <w:rPr>
                <w:sz w:val="20"/>
                <w:vertAlign w:val="subscript"/>
              </w:rPr>
              <w:t xml:space="preserve">pk </w:t>
            </w:r>
            <w:r w:rsidRPr="00837D3D">
              <w:rPr>
                <w:sz w:val="20"/>
              </w:rPr>
              <w:t>= 0.72</w:t>
            </w:r>
          </w:p>
        </w:tc>
      </w:tr>
      <w:tr w14:paraId="2FE3C9AC" w14:textId="77777777">
        <w:tblPrEx>
          <w:tblW w:w="10142" w:type="dxa"/>
          <w:tblInd w:w="-432" w:type="dxa"/>
          <w:tblLayout w:type="fixed"/>
          <w:tblLook w:val="04A0"/>
        </w:tblPrEx>
        <w:trPr>
          <w:trHeight w:val="293"/>
        </w:trPr>
        <w:tc>
          <w:tcPr>
            <w:tcW w:w="2049" w:type="dxa"/>
            <w:vMerge/>
            <w:vAlign w:val="center"/>
          </w:tcPr>
          <w:p w:rsidR="00BC56A2" w:rsidRPr="00837D3D" w:rsidP="00837D3D" w14:paraId="2132B60F" w14:textId="77777777">
            <w:pPr>
              <w:rPr>
                <w:sz w:val="20"/>
              </w:rPr>
            </w:pPr>
          </w:p>
        </w:tc>
        <w:tc>
          <w:tcPr>
            <w:tcW w:w="1324" w:type="dxa"/>
            <w:vMerge/>
            <w:vAlign w:val="center"/>
          </w:tcPr>
          <w:p w:rsidR="00BC56A2" w:rsidRPr="00837D3D" w:rsidP="00837D3D" w14:paraId="317F2D19" w14:textId="77777777">
            <w:pPr>
              <w:rPr>
                <w:sz w:val="20"/>
              </w:rPr>
            </w:pPr>
          </w:p>
        </w:tc>
        <w:tc>
          <w:tcPr>
            <w:tcW w:w="756" w:type="dxa"/>
            <w:vMerge/>
            <w:vAlign w:val="center"/>
          </w:tcPr>
          <w:p w:rsidR="00BC56A2" w:rsidRPr="00837D3D" w:rsidP="00837D3D" w14:paraId="76F1F524" w14:textId="77777777">
            <w:pPr>
              <w:rPr>
                <w:sz w:val="20"/>
              </w:rPr>
            </w:pPr>
          </w:p>
        </w:tc>
        <w:tc>
          <w:tcPr>
            <w:tcW w:w="999" w:type="dxa"/>
            <w:vAlign w:val="center"/>
          </w:tcPr>
          <w:p w:rsidR="00BC56A2" w:rsidRPr="00837D3D" w:rsidP="00837D3D" w14:paraId="3B5656D9" w14:textId="77777777">
            <w:pPr>
              <w:rPr>
                <w:sz w:val="20"/>
              </w:rPr>
            </w:pPr>
            <w:r w:rsidRPr="00837D3D">
              <w:rPr>
                <w:sz w:val="20"/>
              </w:rPr>
              <w:t>n=20</w:t>
            </w:r>
          </w:p>
        </w:tc>
        <w:tc>
          <w:tcPr>
            <w:tcW w:w="836" w:type="dxa"/>
            <w:vAlign w:val="center"/>
          </w:tcPr>
          <w:p w:rsidR="00BC56A2" w:rsidRPr="00837D3D" w:rsidP="00837D3D" w14:paraId="7A4E848A" w14:textId="77777777">
            <w:pPr>
              <w:rPr>
                <w:sz w:val="20"/>
              </w:rPr>
            </w:pPr>
            <w:r w:rsidRPr="00837D3D">
              <w:rPr>
                <w:sz w:val="20"/>
              </w:rPr>
              <w:t>0.48</w:t>
            </w:r>
          </w:p>
        </w:tc>
        <w:tc>
          <w:tcPr>
            <w:tcW w:w="756" w:type="dxa"/>
            <w:vAlign w:val="center"/>
          </w:tcPr>
          <w:p w:rsidR="00BC56A2" w:rsidRPr="00837D3D" w:rsidP="00837D3D" w14:paraId="313FADCD" w14:textId="77777777">
            <w:pPr>
              <w:rPr>
                <w:sz w:val="20"/>
              </w:rPr>
            </w:pPr>
            <w:r w:rsidRPr="00837D3D">
              <w:rPr>
                <w:sz w:val="20"/>
              </w:rPr>
              <w:t>0.58</w:t>
            </w:r>
          </w:p>
        </w:tc>
        <w:tc>
          <w:tcPr>
            <w:tcW w:w="3422" w:type="dxa"/>
            <w:vAlign w:val="center"/>
          </w:tcPr>
          <w:p w:rsidR="00BC56A2" w:rsidRPr="00837D3D" w:rsidP="00837D3D" w14:paraId="72FB5B20" w14:textId="77777777">
            <w:pPr>
              <w:rPr>
                <w:sz w:val="20"/>
              </w:rPr>
            </w:pPr>
            <w:r w:rsidRPr="00837D3D">
              <w:rPr>
                <w:sz w:val="20"/>
              </w:rPr>
              <w:t>2.5% corresponding to P</w:t>
            </w:r>
            <w:r w:rsidRPr="00837D3D">
              <w:rPr>
                <w:sz w:val="20"/>
                <w:vertAlign w:val="subscript"/>
              </w:rPr>
              <w:t xml:space="preserve">pk </w:t>
            </w:r>
            <w:r w:rsidRPr="00837D3D">
              <w:rPr>
                <w:sz w:val="20"/>
              </w:rPr>
              <w:t>= 0.65</w:t>
            </w:r>
          </w:p>
        </w:tc>
      </w:tr>
      <w:tr w14:paraId="61A13578" w14:textId="77777777" w:rsidTr="00AD49C8">
        <w:tblPrEx>
          <w:tblW w:w="10142" w:type="dxa"/>
          <w:tblInd w:w="-432" w:type="dxa"/>
          <w:tblLayout w:type="fixed"/>
          <w:tblLook w:val="04A0"/>
        </w:tblPrEx>
        <w:trPr>
          <w:trHeight w:val="347"/>
        </w:trPr>
        <w:tc>
          <w:tcPr>
            <w:tcW w:w="2049" w:type="dxa"/>
            <w:vMerge/>
            <w:tcBorders>
              <w:bottom w:val="single" w:sz="8" w:space="0" w:color="auto"/>
            </w:tcBorders>
            <w:vAlign w:val="center"/>
          </w:tcPr>
          <w:p w:rsidR="00BC56A2" w:rsidRPr="00837D3D" w:rsidP="00837D3D" w14:paraId="50BC8674" w14:textId="77777777">
            <w:pPr>
              <w:rPr>
                <w:sz w:val="20"/>
              </w:rPr>
            </w:pPr>
          </w:p>
        </w:tc>
        <w:tc>
          <w:tcPr>
            <w:tcW w:w="1324" w:type="dxa"/>
            <w:vMerge/>
            <w:tcBorders>
              <w:bottom w:val="single" w:sz="8" w:space="0" w:color="auto"/>
            </w:tcBorders>
            <w:vAlign w:val="center"/>
          </w:tcPr>
          <w:p w:rsidR="00BC56A2" w:rsidRPr="00837D3D" w:rsidP="00837D3D" w14:paraId="6B7EE81B" w14:textId="77777777">
            <w:pPr>
              <w:rPr>
                <w:sz w:val="20"/>
              </w:rPr>
            </w:pPr>
          </w:p>
        </w:tc>
        <w:tc>
          <w:tcPr>
            <w:tcW w:w="756" w:type="dxa"/>
            <w:vMerge/>
            <w:tcBorders>
              <w:bottom w:val="single" w:sz="8" w:space="0" w:color="auto"/>
            </w:tcBorders>
            <w:vAlign w:val="center"/>
          </w:tcPr>
          <w:p w:rsidR="00BC56A2" w:rsidRPr="00837D3D" w:rsidP="00837D3D" w14:paraId="7E9B3716" w14:textId="77777777">
            <w:pPr>
              <w:rPr>
                <w:sz w:val="20"/>
              </w:rPr>
            </w:pPr>
          </w:p>
        </w:tc>
        <w:tc>
          <w:tcPr>
            <w:tcW w:w="999" w:type="dxa"/>
            <w:tcBorders>
              <w:bottom w:val="single" w:sz="8" w:space="0" w:color="auto"/>
            </w:tcBorders>
            <w:vAlign w:val="center"/>
          </w:tcPr>
          <w:p w:rsidR="00BC56A2" w:rsidRPr="00837D3D" w:rsidP="00837D3D" w14:paraId="239D3AC2" w14:textId="77777777">
            <w:pPr>
              <w:rPr>
                <w:sz w:val="20"/>
              </w:rPr>
            </w:pPr>
            <w:r w:rsidRPr="00837D3D">
              <w:rPr>
                <w:sz w:val="20"/>
              </w:rPr>
              <w:t>n=30</w:t>
            </w:r>
          </w:p>
        </w:tc>
        <w:tc>
          <w:tcPr>
            <w:tcW w:w="836" w:type="dxa"/>
            <w:tcBorders>
              <w:bottom w:val="single" w:sz="8" w:space="0" w:color="auto"/>
            </w:tcBorders>
            <w:vAlign w:val="center"/>
          </w:tcPr>
          <w:p w:rsidR="00BC56A2" w:rsidRPr="00837D3D" w:rsidP="00837D3D" w14:paraId="61E3F061" w14:textId="77777777">
            <w:pPr>
              <w:rPr>
                <w:sz w:val="20"/>
              </w:rPr>
            </w:pPr>
            <w:r w:rsidRPr="00837D3D">
              <w:rPr>
                <w:sz w:val="20"/>
              </w:rPr>
              <w:t>0.43</w:t>
            </w:r>
          </w:p>
        </w:tc>
        <w:tc>
          <w:tcPr>
            <w:tcW w:w="756" w:type="dxa"/>
            <w:tcBorders>
              <w:bottom w:val="single" w:sz="8" w:space="0" w:color="auto"/>
            </w:tcBorders>
            <w:vAlign w:val="center"/>
          </w:tcPr>
          <w:p w:rsidR="00BC56A2" w:rsidRPr="00837D3D" w:rsidP="00837D3D" w14:paraId="00899328" w14:textId="77777777">
            <w:pPr>
              <w:rPr>
                <w:sz w:val="20"/>
              </w:rPr>
            </w:pPr>
            <w:r w:rsidRPr="00837D3D">
              <w:rPr>
                <w:sz w:val="20"/>
              </w:rPr>
              <w:t>0.54</w:t>
            </w:r>
          </w:p>
        </w:tc>
        <w:tc>
          <w:tcPr>
            <w:tcW w:w="3422" w:type="dxa"/>
            <w:tcBorders>
              <w:bottom w:val="single" w:sz="8" w:space="0" w:color="auto"/>
            </w:tcBorders>
            <w:vAlign w:val="center"/>
          </w:tcPr>
          <w:p w:rsidR="00BC56A2" w:rsidRPr="00837D3D" w:rsidP="00837D3D" w14:paraId="38DF17CF" w14:textId="77777777">
            <w:pPr>
              <w:rPr>
                <w:sz w:val="20"/>
              </w:rPr>
            </w:pPr>
            <w:r w:rsidRPr="00837D3D">
              <w:rPr>
                <w:sz w:val="20"/>
              </w:rPr>
              <w:t>4.5% corresponding to P</w:t>
            </w:r>
            <w:r w:rsidRPr="00837D3D">
              <w:rPr>
                <w:sz w:val="20"/>
                <w:vertAlign w:val="subscript"/>
              </w:rPr>
              <w:t xml:space="preserve">pk </w:t>
            </w:r>
            <w:r w:rsidRPr="00837D3D">
              <w:rPr>
                <w:sz w:val="20"/>
              </w:rPr>
              <w:t>= 0.56</w:t>
            </w:r>
          </w:p>
        </w:tc>
      </w:tr>
      <w:tr w14:paraId="34536DEF" w14:textId="77777777">
        <w:tblPrEx>
          <w:tblW w:w="10142" w:type="dxa"/>
          <w:tblInd w:w="-432" w:type="dxa"/>
          <w:tblLayout w:type="fixed"/>
          <w:tblLook w:val="04A0"/>
        </w:tblPrEx>
        <w:tc>
          <w:tcPr>
            <w:tcW w:w="2049" w:type="dxa"/>
            <w:tcBorders>
              <w:top w:val="single" w:sz="8" w:space="0" w:color="auto"/>
              <w:bottom w:val="single" w:sz="8" w:space="0" w:color="auto"/>
            </w:tcBorders>
            <w:vAlign w:val="center"/>
          </w:tcPr>
          <w:p w:rsidR="00BC56A2" w:rsidRPr="00837D3D" w:rsidP="00837D3D" w14:paraId="008D16A9" w14:textId="77777777">
            <w:pPr>
              <w:rPr>
                <w:sz w:val="20"/>
              </w:rPr>
            </w:pPr>
            <w:r w:rsidRPr="00837D3D">
              <w:rPr>
                <w:sz w:val="20"/>
              </w:rPr>
              <w:t>Non-CTS-S2</w:t>
            </w:r>
          </w:p>
          <w:p w:rsidR="00BC56A2" w:rsidRPr="00837D3D" w:rsidP="00837D3D" w14:paraId="3FAB119C" w14:textId="77777777">
            <w:pPr>
              <w:rPr>
                <w:sz w:val="20"/>
              </w:rPr>
            </w:pPr>
            <w:r w:rsidRPr="00837D3D">
              <w:rPr>
                <w:sz w:val="20"/>
              </w:rPr>
              <w:t>Non-CTS-S1</w:t>
            </w:r>
          </w:p>
          <w:p w:rsidR="00BC56A2" w:rsidRPr="00837D3D" w:rsidP="00837D3D" w14:paraId="20CF5AB4" w14:textId="77777777">
            <w:pPr>
              <w:rPr>
                <w:sz w:val="20"/>
                <w:lang w:val="fr-FR"/>
              </w:rPr>
            </w:pPr>
            <w:r w:rsidRPr="00837D3D">
              <w:rPr>
                <w:sz w:val="20"/>
                <w:lang w:val="fr-FR"/>
              </w:rPr>
              <w:t>Non-CTS-S0</w:t>
            </w:r>
          </w:p>
          <w:p w:rsidR="00BC56A2" w:rsidRPr="00837D3D" w:rsidP="00837D3D" w14:paraId="4DD75FD7" w14:textId="77777777">
            <w:pPr>
              <w:rPr>
                <w:sz w:val="20"/>
                <w:lang w:val="fr-FR"/>
              </w:rPr>
            </w:pPr>
            <w:r w:rsidRPr="00837D3D">
              <w:rPr>
                <w:sz w:val="20"/>
                <w:lang w:val="fr-FR"/>
              </w:rPr>
              <w:t>Non-CTQ SEV8</w:t>
            </w:r>
          </w:p>
          <w:p w:rsidR="00BC56A2" w:rsidRPr="00837D3D" w:rsidP="00837D3D" w14:paraId="5A849AA3" w14:textId="77777777">
            <w:pPr>
              <w:rPr>
                <w:sz w:val="20"/>
                <w:lang w:val="fr-FR"/>
              </w:rPr>
            </w:pPr>
            <w:r w:rsidRPr="00837D3D">
              <w:rPr>
                <w:sz w:val="20"/>
                <w:lang w:val="fr-FR"/>
              </w:rPr>
              <w:t>Non-CTQ SEV5</w:t>
            </w:r>
          </w:p>
          <w:p w:rsidR="00BC56A2" w:rsidRPr="00837D3D" w:rsidP="00837D3D" w14:paraId="2C2D4FC2" w14:textId="77777777">
            <w:pPr>
              <w:rPr>
                <w:sz w:val="20"/>
                <w:lang w:val="fr-FR"/>
              </w:rPr>
            </w:pPr>
            <w:r w:rsidRPr="00837D3D">
              <w:rPr>
                <w:sz w:val="20"/>
                <w:lang w:val="fr-FR"/>
              </w:rPr>
              <w:t>Non-CTQ SEV3</w:t>
            </w:r>
          </w:p>
          <w:p w:rsidR="00BC56A2" w:rsidRPr="005C65AE" w:rsidP="00837D3D" w14:paraId="61599892" w14:textId="77777777">
            <w:pPr>
              <w:rPr>
                <w:lang w:val="fr-FR"/>
              </w:rPr>
            </w:pPr>
            <w:r w:rsidRPr="00837D3D">
              <w:rPr>
                <w:sz w:val="20"/>
                <w:lang w:val="fr-FR"/>
              </w:rPr>
              <w:t>Non-CTQ SEV1</w:t>
            </w:r>
          </w:p>
        </w:tc>
        <w:tc>
          <w:tcPr>
            <w:tcW w:w="8093" w:type="dxa"/>
            <w:gridSpan w:val="6"/>
            <w:tcBorders>
              <w:top w:val="single" w:sz="8" w:space="0" w:color="auto"/>
              <w:bottom w:val="single" w:sz="8" w:space="0" w:color="auto"/>
            </w:tcBorders>
            <w:vAlign w:val="center"/>
          </w:tcPr>
          <w:p w:rsidR="00BC56A2" w:rsidRPr="00BF4E0C" w:rsidP="00837D3D" w14:paraId="453F03BD" w14:textId="77777777">
            <w:r w:rsidRPr="00BF4E0C">
              <w:t>No Sampling Plan</w:t>
            </w:r>
          </w:p>
          <w:p w:rsidR="00BC56A2" w:rsidRPr="00152766" w:rsidP="00837D3D" w14:paraId="1D7F3650" w14:textId="77777777">
            <w:r w:rsidRPr="00BF4E0C">
              <w:t>n=1 per OQ run</w:t>
            </w:r>
          </w:p>
        </w:tc>
      </w:tr>
      <w:tr w14:paraId="04B9B682" w14:textId="77777777">
        <w:tblPrEx>
          <w:tblW w:w="10142" w:type="dxa"/>
          <w:tblInd w:w="-432" w:type="dxa"/>
          <w:tblLayout w:type="fixed"/>
          <w:tblLook w:val="04A0"/>
        </w:tblPrEx>
        <w:tc>
          <w:tcPr>
            <w:tcW w:w="10142" w:type="dxa"/>
            <w:gridSpan w:val="7"/>
            <w:tcBorders>
              <w:top w:val="single" w:sz="8" w:space="0" w:color="auto"/>
            </w:tcBorders>
            <w:vAlign w:val="center"/>
          </w:tcPr>
          <w:p w:rsidR="00BC56A2" w:rsidRPr="00512A79" w:rsidP="005C08EE" w14:paraId="7FAD3F9D" w14:textId="493919A7">
            <w:pPr>
              <w:pStyle w:val="Doc-Text3"/>
              <w:spacing w:after="60"/>
              <w:rPr>
                <w:sz w:val="20"/>
              </w:rPr>
            </w:pPr>
            <w:r w:rsidRPr="00512A79">
              <w:rPr>
                <w:sz w:val="20"/>
              </w:rPr>
              <w:t xml:space="preserve">Note [1]: When a critical quality attribute (CQA) is classified as a CTS (e.g., on a drawing) and there is no severity of harm (SOH) </w:t>
            </w:r>
            <w:r w:rsidRPr="00512A79" w:rsidR="00512A79">
              <w:rPr>
                <w:sz w:val="20"/>
              </w:rPr>
              <w:t>information available in a Philips FMEA document</w:t>
            </w:r>
            <w:r w:rsidRPr="00512A79">
              <w:rPr>
                <w:sz w:val="20"/>
              </w:rPr>
              <w:t xml:space="preserve">, the sampling plan for CTS-S4 shall be used. </w:t>
            </w:r>
          </w:p>
          <w:p w:rsidR="00BC56A2" w:rsidRPr="00512A79" w:rsidP="005C08EE" w14:paraId="346E696A" w14:textId="52A45C58">
            <w:pPr>
              <w:pStyle w:val="Doc-Text3"/>
              <w:spacing w:after="80"/>
              <w:rPr>
                <w:sz w:val="20"/>
              </w:rPr>
            </w:pPr>
            <w:r w:rsidRPr="00512A79">
              <w:rPr>
                <w:sz w:val="20"/>
              </w:rPr>
              <w:t xml:space="preserve">Note [2]: When a critical quality attribute (CQA) is classified as a CTQ (e.g., on a drawing) and there is no severity of effect (SOE) </w:t>
            </w:r>
            <w:r w:rsidR="00512A79">
              <w:rPr>
                <w:sz w:val="20"/>
              </w:rPr>
              <w:t>information available in a Philips FMEA document</w:t>
            </w:r>
            <w:r w:rsidRPr="00512A79">
              <w:rPr>
                <w:sz w:val="20"/>
              </w:rPr>
              <w:t>, the sampling plan for CTQ-SEV8 shall be used.</w:t>
            </w:r>
          </w:p>
          <w:p w:rsidR="00BC56A2" w:rsidRPr="00512A79" w:rsidP="005C08EE" w14:paraId="0ACED942" w14:textId="77777777">
            <w:pPr>
              <w:pStyle w:val="Doc-Text3"/>
              <w:spacing w:after="80"/>
              <w:rPr>
                <w:sz w:val="20"/>
              </w:rPr>
            </w:pPr>
            <w:r w:rsidRPr="00512A79">
              <w:rPr>
                <w:sz w:val="20"/>
              </w:rPr>
              <w:t>Note [3]: The reliability is the percentage or proportion conforming. The reliability level is risk-based.</w:t>
            </w:r>
          </w:p>
          <w:p w:rsidR="00BC56A2" w:rsidRPr="00512A79" w:rsidP="005C08EE" w14:paraId="3C7172F9" w14:textId="77777777">
            <w:pPr>
              <w:pStyle w:val="Doc-Text3"/>
              <w:spacing w:after="80"/>
              <w:rPr>
                <w:sz w:val="20"/>
              </w:rPr>
            </w:pPr>
            <w:r w:rsidRPr="00512A79">
              <w:rPr>
                <w:sz w:val="20"/>
              </w:rPr>
              <w:t>Note [4]: The RQL is the Reject Quality Level. RQL = 100% - % Reliability. The RQL is representative of the percentage or proportion nonconforming that the sampling plan rejects on a regular basis.</w:t>
            </w:r>
          </w:p>
          <w:p w:rsidR="00BC56A2" w:rsidRPr="00512A79" w:rsidP="005C08EE" w14:paraId="6754848F" w14:textId="77777777">
            <w:pPr>
              <w:pStyle w:val="Doc-Text3"/>
              <w:spacing w:after="80"/>
              <w:rPr>
                <w:sz w:val="20"/>
              </w:rPr>
            </w:pPr>
            <w:r w:rsidRPr="00512A79">
              <w:rPr>
                <w:sz w:val="20"/>
              </w:rPr>
              <w:t xml:space="preserve">Note [5]: The AQL is the Accept Quality Level. The AQL is representative of the percent or proportion nonconforming that the sampling plan accepts on a regular basis. Note: It is not a requirement to meet the AQL. The AQL is merely presented for reference. The % in this column indicates the estimated defect rate the process should have for the sampling plan to accept the OQ or PQ run on a routine basis (95% of the time). Defect rates can be estimated based on similar processes with historic data or test results from process characterization, engineering runs, pilot builds, etc. </w:t>
            </w:r>
          </w:p>
          <w:p w:rsidR="00BC56A2" w:rsidRPr="00512A79" w:rsidP="005C08EE" w14:paraId="306E5471" w14:textId="77777777">
            <w:pPr>
              <w:pStyle w:val="Doc-Text3"/>
              <w:spacing w:after="80"/>
              <w:rPr>
                <w:sz w:val="20"/>
              </w:rPr>
            </w:pPr>
            <w:r w:rsidRPr="00512A79">
              <w:rPr>
                <w:sz w:val="20"/>
              </w:rPr>
              <w:t>Note [6]: Three sampling plans are available. Choose either 15, 20, or 30 samples. Consider that the sampling plan’s AQL (% nonconforming) decreases as the sample size increases.</w:t>
            </w:r>
          </w:p>
          <w:p w:rsidR="00BC56A2" w:rsidRPr="004274C9" w:rsidP="00FB2312" w14:paraId="13AA3B82" w14:textId="77777777">
            <w:pPr>
              <w:pStyle w:val="Doc-Text3"/>
              <w:keepNext/>
              <w:spacing w:after="80"/>
              <w:rPr>
                <w:sz w:val="20"/>
              </w:rPr>
            </w:pPr>
            <w:r w:rsidRPr="00512A79">
              <w:rPr>
                <w:sz w:val="20"/>
              </w:rPr>
              <w:t>Note [7]: For One-sided specifications, use the P</w:t>
            </w:r>
            <w:r w:rsidRPr="00512A79">
              <w:rPr>
                <w:sz w:val="20"/>
                <w:vertAlign w:val="subscript"/>
              </w:rPr>
              <w:t>pk</w:t>
            </w:r>
            <w:r w:rsidRPr="00512A79">
              <w:rPr>
                <w:sz w:val="20"/>
              </w:rPr>
              <w:t>. For Two-sided specifications, use both the P</w:t>
            </w:r>
            <w:r w:rsidRPr="00512A79">
              <w:rPr>
                <w:sz w:val="20"/>
                <w:vertAlign w:val="subscript"/>
              </w:rPr>
              <w:t>pk</w:t>
            </w:r>
            <w:r w:rsidRPr="00512A79">
              <w:rPr>
                <w:sz w:val="20"/>
              </w:rPr>
              <w:t xml:space="preserve"> and P</w:t>
            </w:r>
            <w:r w:rsidRPr="00512A79">
              <w:rPr>
                <w:sz w:val="20"/>
                <w:vertAlign w:val="subscript"/>
              </w:rPr>
              <w:t>p</w:t>
            </w:r>
            <w:r w:rsidRPr="00512A79">
              <w:rPr>
                <w:sz w:val="20"/>
              </w:rPr>
              <w:t>.</w:t>
            </w:r>
          </w:p>
        </w:tc>
      </w:tr>
    </w:tbl>
    <w:p w:rsidR="00D171F8" w:rsidP="00FB2312" w14:paraId="61EC5763" w14:textId="2B37CCAB">
      <w:pPr>
        <w:pStyle w:val="Caption"/>
      </w:pPr>
      <w:r>
        <w:t xml:space="preserve">Table </w:t>
      </w:r>
      <w:r>
        <w:fldChar w:fldCharType="begin"/>
      </w:r>
      <w:r>
        <w:instrText xml:space="preserve"> SEQ Tabel \* ARABIC </w:instrText>
      </w:r>
      <w:r>
        <w:fldChar w:fldCharType="separate"/>
      </w:r>
      <w:r>
        <w:t>14</w:t>
      </w:r>
      <w:r>
        <w:fldChar w:fldCharType="end"/>
      </w:r>
      <w:r>
        <w:t xml:space="preserve">: </w:t>
      </w:r>
      <w:r w:rsidRPr="005617D3">
        <w:t>Variable Sampling Plans for OQ, 95% Confidence, α=5%, β=5%</w:t>
      </w:r>
    </w:p>
    <w:p w:rsidR="00837D3D" w:rsidP="00837D3D" w14:paraId="182C38F4" w14:textId="3785F563">
      <w:r>
        <w:br w:type="page"/>
      </w:r>
    </w:p>
    <w:p w:rsidR="00D171F8" w:rsidP="00A61F37" w14:paraId="5CA59CF7" w14:textId="77777777">
      <w:pPr>
        <w:pStyle w:val="Heading1"/>
      </w:pPr>
      <w:bookmarkStart w:id="874" w:name="_Toc188651159"/>
      <w:bookmarkStart w:id="875" w:name="_Toc256000044"/>
      <w:r>
        <w:t>Procedure</w:t>
      </w:r>
      <w:bookmarkEnd w:id="875"/>
      <w:bookmarkEnd w:id="874"/>
    </w:p>
    <w:p w:rsidR="00B37F18" w:rsidP="00EE1EA6" w14:paraId="7B5CD8BE" w14:textId="6E148197">
      <w:pPr>
        <w:pStyle w:val="Heading2"/>
      </w:pPr>
      <w:bookmarkStart w:id="876" w:name="_Toc188651160"/>
      <w:bookmarkStart w:id="877" w:name="_Toc256000045"/>
      <w:r>
        <w:t>Select Reliability and Sampling Plan</w:t>
      </w:r>
      <w:bookmarkEnd w:id="877"/>
      <w:bookmarkEnd w:id="876"/>
    </w:p>
    <w:p w:rsidR="00A057CB" w:rsidP="00837D3D" w14:paraId="5CD4E561" w14:textId="77777777">
      <w:pPr>
        <w:pStyle w:val="Heading3"/>
      </w:pPr>
      <w:r>
        <w:t>For each CQA, the criticality, SOH, SOE must be listed in the protocol. For instance, a CQA may be a CTQ and SEV 8. This information should be available from the SRPQP, technical drawings, or other communication from Philips.</w:t>
      </w:r>
    </w:p>
    <w:p w:rsidR="00B713EB" w:rsidP="00837D3D" w14:paraId="6B34CB8A" w14:textId="747FC880">
      <w:pPr>
        <w:pStyle w:val="Heading3"/>
      </w:pPr>
      <w:r>
        <w:t>Determine the required reliability level for OQ/PQ from Table 9 for the selected Criticality and SOH/SOE.</w:t>
      </w:r>
      <w:r w:rsidR="00512A79">
        <w:t xml:space="preserve"> If there is no information available on the SOH or SOE, then the sampling plan for a CTS is that of CTS-S4 and for CTQ is that of CTQ-SEV8.</w:t>
      </w:r>
    </w:p>
    <w:p w:rsidR="00A057CB" w:rsidP="00837D3D" w14:paraId="34CC7279" w14:textId="54520FCB">
      <w:pPr>
        <w:pStyle w:val="Heading3"/>
      </w:pPr>
      <w:r>
        <w:t>Select the respective sampling plans from Tables 11 to 14.</w:t>
      </w:r>
    </w:p>
    <w:p w:rsidR="00A057CB" w:rsidP="00837D3D" w14:paraId="65639D8D" w14:textId="6C3E8ED5">
      <w:pPr>
        <w:pStyle w:val="Heading4"/>
      </w:pPr>
      <w:r>
        <w:t>For Attribute (Pass/Fail) sampling plans, refer to Table 11.</w:t>
      </w:r>
    </w:p>
    <w:p w:rsidR="00A057CB" w:rsidP="00837D3D" w14:paraId="55BB93FB" w14:textId="77B21BD2">
      <w:pPr>
        <w:pStyle w:val="Heading4"/>
      </w:pPr>
      <w:r>
        <w:t>For Visual inspections (Pass/Fail) with two or more CQAs inspected simultaneously, Table 12 may be used.</w:t>
      </w:r>
    </w:p>
    <w:p w:rsidR="00B37F18" w:rsidRPr="00BB55E4" w:rsidP="00837D3D" w14:paraId="7123282F" w14:textId="4BE6C1F4">
      <w:pPr>
        <w:pStyle w:val="Heading4"/>
      </w:pPr>
      <w:r>
        <w:t>For Variable Data, use Table 13 for PQ studies and Table 14 for OQ studies. These tables provide 3 sampling plans. Any plan may be used as they all provide the same protection.</w:t>
      </w:r>
    </w:p>
    <w:p w:rsidR="00B37F18" w:rsidP="00EE1EA6" w14:paraId="6CC995E6" w14:textId="3B82D8B3">
      <w:pPr>
        <w:pStyle w:val="Heading2"/>
      </w:pPr>
      <w:bookmarkStart w:id="878" w:name="_Toc188651161"/>
      <w:bookmarkStart w:id="879" w:name="_Toc256000046"/>
      <w:r>
        <w:t>Document Rationale</w:t>
      </w:r>
      <w:bookmarkEnd w:id="879"/>
      <w:bookmarkEnd w:id="878"/>
    </w:p>
    <w:p w:rsidR="00B37F18" w:rsidRPr="006D32C7" w:rsidP="0083377A" w14:paraId="0C887817" w14:textId="77777777">
      <w:r>
        <w:t>Provide a rationale for the selected sampling plan in the validation protocol. The rationale must explain the sources used to determine the criticality/severity and how this information was used to select the sampling plan.</w:t>
      </w:r>
    </w:p>
    <w:p w:rsidR="00B37F18" w:rsidRPr="002469B1" w:rsidP="00EE1EA6" w14:paraId="6A73D49B" w14:textId="5ECDC56A">
      <w:pPr>
        <w:pStyle w:val="Heading2"/>
      </w:pPr>
      <w:bookmarkStart w:id="880" w:name="_Toc188651162"/>
      <w:bookmarkStart w:id="881" w:name="_Toc256000047"/>
      <w:r w:rsidRPr="002469B1">
        <w:t>Sample Pooling</w:t>
      </w:r>
      <w:bookmarkEnd w:id="881"/>
      <w:bookmarkEnd w:id="880"/>
    </w:p>
    <w:p w:rsidR="00B37F18" w:rsidP="00837D3D" w14:paraId="78B03EBC" w14:textId="77777777">
      <w:pPr>
        <w:pStyle w:val="Heading3"/>
      </w:pPr>
      <w:r w:rsidRPr="006C65E6">
        <w:t xml:space="preserve">Attribute data for PQ studies may be pooled over </w:t>
      </w:r>
      <w:r>
        <w:t>the</w:t>
      </w:r>
      <w:r w:rsidRPr="006C65E6">
        <w:t xml:space="preserve"> PQ runs. For example, if a CQA is classified as a CTS-S3, the 99 required samples can be collected equally from 3 PQ runs. 33 samples can be pulled from each of the 3 PQ runs to obtain the 99 test samples. </w:t>
      </w:r>
    </w:p>
    <w:p w:rsidR="00B37F18" w:rsidP="00837D3D" w14:paraId="1C6398E0" w14:textId="5E0ECA27">
      <w:pPr>
        <w:pStyle w:val="Heading3"/>
      </w:pPr>
      <w:r>
        <w:t>Pooling is not allowed for OQ</w:t>
      </w:r>
      <w:r w:rsidR="004474E2">
        <w:t>.</w:t>
      </w:r>
    </w:p>
    <w:p w:rsidR="00B37F18" w:rsidP="00837D3D" w14:paraId="33EC967A" w14:textId="786E168D">
      <w:pPr>
        <w:pStyle w:val="Heading3"/>
      </w:pPr>
      <w:r>
        <w:t>Pooling is not allowed for variable data</w:t>
      </w:r>
      <w:r w:rsidR="004474E2">
        <w:t>.</w:t>
      </w:r>
    </w:p>
    <w:p w:rsidR="00B37F18" w:rsidP="00EE1EA6" w14:paraId="16559CA4" w14:textId="0934E0B4">
      <w:pPr>
        <w:pStyle w:val="Heading2"/>
      </w:pPr>
      <w:bookmarkStart w:id="882" w:name="_Toc188651163"/>
      <w:bookmarkStart w:id="883" w:name="_Toc256000048"/>
      <w:r>
        <w:t>Analyze Results (Attribute Data)</w:t>
      </w:r>
      <w:bookmarkEnd w:id="883"/>
      <w:bookmarkEnd w:id="882"/>
    </w:p>
    <w:p w:rsidR="00B37F18" w:rsidP="00837D3D" w14:paraId="6D66FCA4" w14:textId="77777777">
      <w:pPr>
        <w:pStyle w:val="Heading3"/>
      </w:pPr>
      <w:r w:rsidRPr="006C65E6">
        <w:t xml:space="preserve">For attribute data, count the number of failures and compare with the maximum allowed failure rate. For all attribute sampling plans in this </w:t>
      </w:r>
      <w:r>
        <w:t>guideline</w:t>
      </w:r>
      <w:r w:rsidRPr="006C65E6">
        <w:t>, the maximum number of failures is 0.</w:t>
      </w:r>
      <w:bookmarkStart w:id="884" w:name="_Toc372292764"/>
      <w:bookmarkStart w:id="885" w:name="_Toc372554256"/>
    </w:p>
    <w:p w:rsidR="00B37F18" w:rsidRPr="006C65E6" w:rsidP="00EE1EA6" w14:paraId="22F72135" w14:textId="4C1949D5">
      <w:pPr>
        <w:pStyle w:val="Heading2"/>
      </w:pPr>
      <w:bookmarkStart w:id="886" w:name="_Toc188651164"/>
      <w:bookmarkStart w:id="887" w:name="_Toc256000049"/>
      <w:r>
        <w:t>Analyze Results (Variable Data)</w:t>
      </w:r>
      <w:bookmarkEnd w:id="887"/>
      <w:bookmarkEnd w:id="886"/>
    </w:p>
    <w:p w:rsidR="00B37F18" w:rsidP="00837D3D" w14:paraId="7DC1AB04" w14:textId="45DFCCBA">
      <w:pPr>
        <w:pStyle w:val="Heading3"/>
      </w:pPr>
      <w:r w:rsidRPr="006C65E6">
        <w:t>For variable data, perform a normality test. An example of a normality</w:t>
      </w:r>
      <w:r>
        <w:t xml:space="preserve"> test is shown</w:t>
      </w:r>
      <w:r w:rsidRPr="006C65E6">
        <w:t xml:space="preserve"> </w:t>
      </w:r>
      <w:r>
        <w:t>in chapter 1</w:t>
      </w:r>
      <w:r w:rsidR="004474E2">
        <w:t>3</w:t>
      </w:r>
      <w:r>
        <w:t xml:space="preserve"> of this guideline.</w:t>
      </w:r>
    </w:p>
    <w:p w:rsidR="00B37F18" w:rsidP="00837D3D" w14:paraId="09CAC493" w14:textId="77777777">
      <w:pPr>
        <w:pStyle w:val="Heading3"/>
      </w:pPr>
      <w:r>
        <w:t>The suggested normality test is the Anderson-Darling test. Consult with a statistician or site SME before using a different normality test.</w:t>
      </w:r>
    </w:p>
    <w:p w:rsidR="00B37F18" w:rsidP="00837D3D" w14:paraId="42E3E24A" w14:textId="77777777">
      <w:pPr>
        <w:pStyle w:val="Heading3"/>
      </w:pPr>
      <w:r>
        <w:t xml:space="preserve">A minimum of 15 samples and </w:t>
      </w:r>
      <w:r w:rsidRPr="00534AE8">
        <w:t>no more than 100 samples</w:t>
      </w:r>
      <w:r>
        <w:t xml:space="preserve"> are recommended for a normality test. </w:t>
      </w:r>
    </w:p>
    <w:p w:rsidR="00B37F18" w:rsidP="00837D3D" w14:paraId="62D0BAE7" w14:textId="77777777">
      <w:pPr>
        <w:pStyle w:val="Heading3"/>
      </w:pPr>
      <w:r>
        <w:t>If the normality test fails, examine the root cause of failure. The reasons could be that the process was not in control (special cause variation) during the OQ/PQ run or that the dataset naturally follows a non-normal distribution.</w:t>
      </w:r>
    </w:p>
    <w:p w:rsidR="00B37F18" w:rsidP="00837D3D" w14:paraId="7C9F0BED" w14:textId="77777777">
      <w:pPr>
        <w:pStyle w:val="Heading4"/>
      </w:pPr>
      <w:r>
        <w:t>Consult a statistician or site SME to identify the distribution that best describes the data set. The “Individual Distribution Identification” feature in Minitab can be used, for example, to identify a recognized distribution that best matches the data set. Only 2-parameter distributions without a threshold should be used. Data transformation is not recommended. When a distribution of the data set is identified, continue with data analysis step using the identified distribution.</w:t>
      </w:r>
    </w:p>
    <w:p w:rsidR="00B37F18" w:rsidP="00837D3D" w14:paraId="7C998565" w14:textId="77777777">
      <w:pPr>
        <w:pStyle w:val="Heading4"/>
      </w:pPr>
      <w:r>
        <w:t>If no distribution can be identified to describe the actual data, consider switching to attribute data. This is only possible when enough samples are available from the OQ/PQ run to meet the attribute sampling plan requirements. Running additional samples after the initial data analysis to meet the attribute sampling requirements is not allowed.</w:t>
      </w:r>
    </w:p>
    <w:p w:rsidR="00B37F18" w:rsidP="00837D3D" w14:paraId="289F6F1A" w14:textId="77777777">
      <w:pPr>
        <w:pStyle w:val="Heading4"/>
      </w:pPr>
      <w:r>
        <w:t xml:space="preserve">Calculate the average and standard deviation. </w:t>
      </w:r>
    </w:p>
    <w:p w:rsidR="00B37F18" w:rsidP="00837D3D" w14:paraId="0775F238" w14:textId="77777777">
      <w:pPr>
        <w:pStyle w:val="Heading4"/>
      </w:pPr>
      <w:r>
        <w:t>Calculate the P</w:t>
      </w:r>
      <w:r w:rsidRPr="00B75F70">
        <w:rPr>
          <w:vertAlign w:val="subscript"/>
        </w:rPr>
        <w:t>pk</w:t>
      </w:r>
      <w:r>
        <w:t xml:space="preserve"> and P</w:t>
      </w:r>
      <w:r w:rsidRPr="00B75F70">
        <w:rPr>
          <w:vertAlign w:val="subscript"/>
        </w:rPr>
        <w:t>p</w:t>
      </w:r>
      <w:r>
        <w:t>. P</w:t>
      </w:r>
      <w:r w:rsidRPr="00B75F70">
        <w:rPr>
          <w:vertAlign w:val="subscript"/>
        </w:rPr>
        <w:t xml:space="preserve">pk </w:t>
      </w:r>
      <w:r>
        <w:t>and P</w:t>
      </w:r>
      <w:r w:rsidRPr="00B75F70">
        <w:rPr>
          <w:vertAlign w:val="subscript"/>
        </w:rPr>
        <w:t xml:space="preserve">p </w:t>
      </w:r>
      <w:r>
        <w:t>are calculated using the total standard deviation. Both represent the actual performance of the process during the OQ or PQ runs and are therefore used for the sampling plans.</w:t>
      </w:r>
    </w:p>
    <w:p w:rsidR="00B37F18" w:rsidP="00837D3D" w14:paraId="52DA038B" w14:textId="77777777">
      <w:pPr>
        <w:pStyle w:val="Heading4"/>
      </w:pPr>
      <w:r>
        <w:t>For one-sided specifications, compare the calculated P</w:t>
      </w:r>
      <w:r w:rsidRPr="00B75F70">
        <w:rPr>
          <w:vertAlign w:val="subscript"/>
        </w:rPr>
        <w:t>pk</w:t>
      </w:r>
      <w:r>
        <w:t xml:space="preserve"> with the minimum required P</w:t>
      </w:r>
      <w:r w:rsidRPr="00B75F70">
        <w:rPr>
          <w:vertAlign w:val="subscript"/>
        </w:rPr>
        <w:t>pk</w:t>
      </w:r>
      <w:r>
        <w:t xml:space="preserve"> of the sampling plan. If the calculated P</w:t>
      </w:r>
      <w:r w:rsidRPr="00EE7A31">
        <w:rPr>
          <w:vertAlign w:val="subscript"/>
        </w:rPr>
        <w:t>pk</w:t>
      </w:r>
      <w:r>
        <w:t xml:space="preserve"> ≥ the sampling plan’s P</w:t>
      </w:r>
      <w:r w:rsidRPr="00EE7A31">
        <w:rPr>
          <w:vertAlign w:val="subscript"/>
        </w:rPr>
        <w:t xml:space="preserve">pk </w:t>
      </w:r>
      <w:r w:rsidRPr="00C72B2F">
        <w:t>requirement</w:t>
      </w:r>
      <w:r>
        <w:t>, the OQ/PQ run passes. If the calculated P</w:t>
      </w:r>
      <w:r w:rsidRPr="00916D02">
        <w:rPr>
          <w:vertAlign w:val="subscript"/>
        </w:rPr>
        <w:t>pk</w:t>
      </w:r>
      <w:r>
        <w:t xml:space="preserve"> is smaller than the sampling plan’s P</w:t>
      </w:r>
      <w:r w:rsidRPr="00916D02">
        <w:rPr>
          <w:vertAlign w:val="subscript"/>
        </w:rPr>
        <w:t xml:space="preserve">pk </w:t>
      </w:r>
      <w:r w:rsidRPr="000F068B">
        <w:t>requirement</w:t>
      </w:r>
      <w:r>
        <w:t xml:space="preserve">, the OQ/PQ run fails. </w:t>
      </w:r>
    </w:p>
    <w:p w:rsidR="00B37F18" w:rsidRPr="003E7575" w:rsidP="00837D3D" w14:paraId="10C6C3FD" w14:textId="77777777">
      <w:pPr>
        <w:pStyle w:val="Heading4"/>
      </w:pPr>
      <w:r>
        <w:t>For two-sided specifications, compare the calculated P</w:t>
      </w:r>
      <w:r w:rsidRPr="005A1A4C">
        <w:rPr>
          <w:vertAlign w:val="subscript"/>
        </w:rPr>
        <w:t>pk</w:t>
      </w:r>
      <w:r>
        <w:t xml:space="preserve"> and P</w:t>
      </w:r>
      <w:r w:rsidRPr="005A1A4C">
        <w:rPr>
          <w:vertAlign w:val="subscript"/>
        </w:rPr>
        <w:t>p</w:t>
      </w:r>
      <w:r>
        <w:t xml:space="preserve"> with the minimum required P</w:t>
      </w:r>
      <w:r w:rsidRPr="005A1A4C">
        <w:rPr>
          <w:vertAlign w:val="subscript"/>
        </w:rPr>
        <w:t xml:space="preserve">pk </w:t>
      </w:r>
      <w:r w:rsidRPr="003D3041">
        <w:t>and P</w:t>
      </w:r>
      <w:r w:rsidRPr="005A1A4C">
        <w:rPr>
          <w:vertAlign w:val="subscript"/>
        </w:rPr>
        <w:t>p,</w:t>
      </w:r>
      <w:r w:rsidRPr="003D3041">
        <w:t xml:space="preserve"> respectively</w:t>
      </w:r>
      <w:r>
        <w:t>. If the calculated P</w:t>
      </w:r>
      <w:r w:rsidRPr="00B80E6A">
        <w:rPr>
          <w:vertAlign w:val="subscript"/>
        </w:rPr>
        <w:t>pk</w:t>
      </w:r>
      <w:r>
        <w:t xml:space="preserve"> ≥ the sampling plan’s P</w:t>
      </w:r>
      <w:r w:rsidRPr="00B80E6A">
        <w:rPr>
          <w:vertAlign w:val="subscript"/>
        </w:rPr>
        <w:t>pk</w:t>
      </w:r>
      <w:r>
        <w:t xml:space="preserve"> requirement, and if the calculated P</w:t>
      </w:r>
      <w:r w:rsidRPr="00B80E6A">
        <w:rPr>
          <w:vertAlign w:val="subscript"/>
        </w:rPr>
        <w:t>p</w:t>
      </w:r>
      <w:r>
        <w:t xml:space="preserve"> ≥ the sampling plan’s P</w:t>
      </w:r>
      <w:r w:rsidRPr="00B80E6A">
        <w:rPr>
          <w:vertAlign w:val="subscript"/>
        </w:rPr>
        <w:t>p</w:t>
      </w:r>
      <w:r>
        <w:t xml:space="preserve"> requirement, the OQ/PQ run passes. If the calculated P</w:t>
      </w:r>
      <w:r w:rsidRPr="00B80E6A">
        <w:rPr>
          <w:vertAlign w:val="subscript"/>
        </w:rPr>
        <w:t>pk</w:t>
      </w:r>
      <w:r>
        <w:t xml:space="preserve"> is smaller than sampling plan’s P</w:t>
      </w:r>
      <w:r w:rsidRPr="00B80E6A">
        <w:rPr>
          <w:vertAlign w:val="subscript"/>
        </w:rPr>
        <w:t>pk</w:t>
      </w:r>
      <w:r>
        <w:t xml:space="preserve"> requirement, or if the calculated P</w:t>
      </w:r>
      <w:r w:rsidRPr="00B80E6A">
        <w:rPr>
          <w:vertAlign w:val="subscript"/>
        </w:rPr>
        <w:t>p</w:t>
      </w:r>
      <w:r>
        <w:t xml:space="preserve"> is smaller than the sampling plan’s P</w:t>
      </w:r>
      <w:r w:rsidRPr="00B80E6A">
        <w:rPr>
          <w:vertAlign w:val="subscript"/>
        </w:rPr>
        <w:t>p</w:t>
      </w:r>
      <w:r>
        <w:t xml:space="preserve"> requirement, the OQ/PQ run fails. </w:t>
      </w:r>
    </w:p>
    <w:p w:rsidR="00B37F18" w:rsidP="00EE1EA6" w14:paraId="3459883E" w14:textId="63B3456B">
      <w:pPr>
        <w:pStyle w:val="Heading2"/>
      </w:pPr>
      <w:bookmarkStart w:id="888" w:name="_Toc188651165"/>
      <w:bookmarkEnd w:id="884"/>
      <w:bookmarkEnd w:id="885"/>
      <w:bookmarkStart w:id="889" w:name="_Toc256000050"/>
      <w:r>
        <w:t>Document Test Results</w:t>
      </w:r>
      <w:bookmarkEnd w:id="889"/>
      <w:bookmarkEnd w:id="888"/>
    </w:p>
    <w:p w:rsidR="00B37F18" w:rsidP="00C467D8" w14:paraId="69CC895D" w14:textId="77777777">
      <w:r>
        <w:t>Document test results and data analysis in the respective OQ/PQ protocol appendix and conclude whether the acceptance criteria are met or not. Attach the completed protocol appendices to the OQ/PQ report.</w:t>
      </w:r>
    </w:p>
    <w:p w:rsidR="00B37F18" w:rsidP="00EE1EA6" w14:paraId="66BEA2A1" w14:textId="34A6E74A">
      <w:pPr>
        <w:pStyle w:val="Heading2"/>
      </w:pPr>
      <w:bookmarkStart w:id="890" w:name="_Toc188651166"/>
      <w:bookmarkStart w:id="891" w:name="_Toc256000051"/>
      <w:r>
        <w:t>Confidence Statement</w:t>
      </w:r>
      <w:bookmarkEnd w:id="891"/>
      <w:bookmarkEnd w:id="890"/>
    </w:p>
    <w:p w:rsidR="00B37F18" w:rsidP="00C467D8" w14:paraId="3A71DF44" w14:textId="77777777">
      <w:r>
        <w:t>Provide a confidence statement for each CQA in the report. Use example statements provided in Table 10.</w:t>
      </w:r>
    </w:p>
    <w:p w:rsidR="00B37F18" w:rsidP="00837D3D" w14:paraId="3D8F194E" w14:textId="77777777">
      <w:pPr>
        <w:pStyle w:val="Heading3"/>
      </w:pPr>
      <w:r>
        <w:br w:type="page"/>
      </w:r>
    </w:p>
    <w:p w:rsidR="00B37F18" w:rsidRPr="00FA6FCB" w:rsidP="00A61F37" w14:paraId="35CAAADD" w14:textId="77777777">
      <w:pPr>
        <w:pStyle w:val="Heading1"/>
      </w:pPr>
      <w:bookmarkStart w:id="892" w:name="_Toc188651167"/>
      <w:bookmarkStart w:id="893" w:name="_Toc256000052"/>
      <w:r w:rsidRPr="00FA6FCB">
        <w:t>Sampling strategies for Low Volume production</w:t>
      </w:r>
      <w:bookmarkEnd w:id="893"/>
      <w:bookmarkEnd w:id="892"/>
    </w:p>
    <w:p w:rsidR="009519BA" w:rsidP="00C62BA9" w14:paraId="2359F7AD" w14:textId="77777777">
      <w:r w:rsidRPr="00FA6FCB">
        <w:t xml:space="preserve">There are times when multiple samples are not available, such as </w:t>
      </w:r>
      <w:r>
        <w:t xml:space="preserve">when </w:t>
      </w:r>
      <w:r w:rsidRPr="00FA6FCB">
        <w:t>only low volumes are produced or when high system cost pro</w:t>
      </w:r>
      <w:r>
        <w:t>longs</w:t>
      </w:r>
      <w:r w:rsidRPr="00FA6FCB">
        <w:t xml:space="preserve"> the testing of multiple samples. In these situations, one or more of the following sampling and testing approaches may be employed:</w:t>
      </w:r>
    </w:p>
    <w:p w:rsidR="009519BA" w:rsidRPr="00FA6FCB" w:rsidP="00A4431D" w14:paraId="4D7F7180" w14:textId="77777777">
      <w:pPr>
        <w:contextualSpacing/>
      </w:pPr>
    </w:p>
    <w:p w:rsidR="009519BA" w:rsidP="00837D3D" w14:paraId="2D322A8C" w14:textId="77777777">
      <w:pPr>
        <w:pStyle w:val="Heading3"/>
      </w:pPr>
      <w:r w:rsidRPr="00BF5C2B">
        <w:rPr>
          <w:b/>
          <w:bCs/>
        </w:rPr>
        <w:t>Full verification instead of process validation</w:t>
      </w:r>
      <w:r>
        <w:t xml:space="preserve">. Consider full verification in commercial manufacturing of critical quality attributes (CQAs) instead of validating the process. This option is only feasible if the process output can be fully verified. </w:t>
      </w:r>
    </w:p>
    <w:p w:rsidR="009519BA" w:rsidRPr="00356EB3" w:rsidP="00837D3D" w14:paraId="7896F7AD" w14:textId="77777777">
      <w:pPr>
        <w:pStyle w:val="Heading3"/>
      </w:pPr>
      <w:r w:rsidRPr="00BF5C2B">
        <w:rPr>
          <w:b/>
          <w:bCs/>
        </w:rPr>
        <w:t>Concurrent Validation</w:t>
      </w:r>
      <w:r w:rsidRPr="005F1EA1">
        <w:t xml:space="preserve">. </w:t>
      </w:r>
      <w:r w:rsidRPr="00356EB3">
        <w:t xml:space="preserve">If </w:t>
      </w:r>
      <w:r>
        <w:t>the production</w:t>
      </w:r>
      <w:r w:rsidRPr="00356EB3">
        <w:t xml:space="preserve"> volume is smaller than the required sample size</w:t>
      </w:r>
      <w:r>
        <w:t xml:space="preserve">, </w:t>
      </w:r>
      <w:r w:rsidRPr="00356EB3">
        <w:t xml:space="preserve">a concurrent validation may be conducted. Refer to Process </w:t>
      </w:r>
      <w:r>
        <w:t>V</w:t>
      </w:r>
      <w:r w:rsidRPr="00356EB3">
        <w:t xml:space="preserve">alidation </w:t>
      </w:r>
      <w:r>
        <w:t xml:space="preserve">Methodology </w:t>
      </w:r>
      <w:r w:rsidRPr="00356EB3">
        <w:t>procedure for further information.</w:t>
      </w:r>
    </w:p>
    <w:p w:rsidR="009519BA" w:rsidRPr="0085384F" w:rsidP="00837D3D" w14:paraId="52A8983D" w14:textId="77777777">
      <w:pPr>
        <w:pStyle w:val="Heading3"/>
      </w:pPr>
      <w:r w:rsidRPr="00BF5C2B">
        <w:rPr>
          <w:b/>
          <w:bCs/>
        </w:rPr>
        <w:t>Use of surrogate test samples or coupons</w:t>
      </w:r>
      <w:r w:rsidRPr="005F1EA1">
        <w:t xml:space="preserve">. </w:t>
      </w:r>
      <w:r w:rsidRPr="0085384F">
        <w:t>OQ and PQ testing may be conducted with surrogate samples. The samples must be representative of the actual process and product. When possible, prepare surrogate samples that are used for certifications against standard tests. For example, corrosion resistance for a zinc and chromate coating is challenged with a neutral salt spray test according to ISO</w:t>
      </w:r>
      <w:r>
        <w:t xml:space="preserve"> </w:t>
      </w:r>
      <w:r w:rsidRPr="0085384F">
        <w:t>02081:2008. The surrogate samples can be used in OQ and PQ instead of the actual product to perform this destructive test. A rationale must be added to the protocol describing how the samples represent the actual product.</w:t>
      </w:r>
      <w:r>
        <w:t xml:space="preserve"> Sampling plans from this procedure must be applied to the testing of surrogate samples unless a sufficient rationale is provided and approved by the Validation Review Board.</w:t>
      </w:r>
    </w:p>
    <w:p w:rsidR="009519BA" w:rsidP="00837D3D" w14:paraId="28E547AF" w14:textId="77777777">
      <w:pPr>
        <w:pStyle w:val="Heading3"/>
      </w:pPr>
      <w:r w:rsidRPr="00BF5C2B">
        <w:rPr>
          <w:b/>
          <w:bCs/>
        </w:rPr>
        <w:t>Multiple sub-components instead of complete devices</w:t>
      </w:r>
      <w:r w:rsidRPr="00C376FF">
        <w:rPr>
          <w:u w:val="single"/>
        </w:rPr>
        <w:t>:</w:t>
      </w:r>
      <w:r>
        <w:t xml:space="preserve"> </w:t>
      </w:r>
      <w:r w:rsidRPr="00FA6FCB">
        <w:t xml:space="preserve">For example, an electrical connector may include 10 pins. During </w:t>
      </w:r>
      <w:r>
        <w:t xml:space="preserve">the </w:t>
      </w:r>
      <w:r w:rsidRPr="00FA6FCB">
        <w:t xml:space="preserve">OQ and PQ of the soldering process, each pin may be counted as one test sample. This is acceptable because the soldering of each pin is </w:t>
      </w:r>
      <w:r w:rsidRPr="00463979">
        <w:t>independent</w:t>
      </w:r>
      <w:r w:rsidRPr="00FA6FCB">
        <w:t xml:space="preserve"> </w:t>
      </w:r>
      <w:r>
        <w:t>of</w:t>
      </w:r>
      <w:r w:rsidRPr="00FA6FCB">
        <w:t xml:space="preserve"> the soldering of other pins. Six connectors need to be built and tested to meet the sample size requirement for 59 samples as required for an attribute sampling plan with 95% confidence and 95% reliability.</w:t>
      </w:r>
    </w:p>
    <w:p w:rsidR="009519BA" w:rsidP="009519BA" w14:paraId="7EFBD126" w14:textId="77777777">
      <w:bookmarkStart w:id="894" w:name="_Toc171513594"/>
      <w:bookmarkStart w:id="895" w:name="_Toc171514244"/>
      <w:bookmarkStart w:id="896" w:name="_Toc171516905"/>
      <w:bookmarkStart w:id="897" w:name="_Toc171517541"/>
      <w:bookmarkStart w:id="898" w:name="_Toc171524413"/>
      <w:bookmarkStart w:id="899" w:name="_Toc171524496"/>
      <w:bookmarkStart w:id="900" w:name="_Toc171609210"/>
      <w:bookmarkStart w:id="901" w:name="_Toc171609292"/>
      <w:bookmarkStart w:id="902" w:name="_Toc172802206"/>
      <w:bookmarkStart w:id="903" w:name="_Toc174607145"/>
      <w:bookmarkStart w:id="904" w:name="_Toc174607229"/>
      <w:bookmarkEnd w:id="894"/>
      <w:bookmarkEnd w:id="895"/>
      <w:bookmarkEnd w:id="896"/>
      <w:bookmarkEnd w:id="897"/>
      <w:bookmarkEnd w:id="898"/>
      <w:bookmarkEnd w:id="899"/>
      <w:bookmarkEnd w:id="900"/>
      <w:bookmarkEnd w:id="901"/>
      <w:bookmarkEnd w:id="902"/>
      <w:bookmarkEnd w:id="903"/>
      <w:bookmarkEnd w:id="904"/>
    </w:p>
    <w:p w:rsidR="009519BA" w:rsidRPr="00D2255A" w:rsidP="009519BA" w14:paraId="1D939113" w14:textId="77777777"/>
    <w:p w:rsidR="009519BA" w:rsidP="009519BA" w14:paraId="41313987" w14:textId="77777777">
      <w:pPr>
        <w:ind w:left="360"/>
      </w:pPr>
      <w:r>
        <w:br w:type="page"/>
      </w:r>
    </w:p>
    <w:p w:rsidR="00C62BA9" w:rsidP="00A61F37" w14:paraId="2E99DDAA" w14:textId="4738222F">
      <w:pPr>
        <w:pStyle w:val="Heading1"/>
      </w:pPr>
      <w:bookmarkStart w:id="905" w:name="_Toc188651168"/>
      <w:bookmarkStart w:id="906" w:name="_Toc256000053"/>
      <w:r>
        <w:t>Normality Testing</w:t>
      </w:r>
      <w:bookmarkEnd w:id="905"/>
      <w:r w:rsidR="004474E2">
        <w:t xml:space="preserve"> (Using Minitab)</w:t>
      </w:r>
      <w:bookmarkEnd w:id="906"/>
    </w:p>
    <w:p w:rsidR="00C62BA9" w:rsidP="00C64863" w14:paraId="356E63E6" w14:textId="77777777">
      <w:r>
        <w:t xml:space="preserve">This chapter provides guidance on normality testing to ensure that the assumption of normality is met when variable sampling plans are used. It is good practice to state in the protocol that data for variable sampling plans are tested for normality before analysis and to allow for alternate analysis methods or a conversion to attribute data when the normality test fails. </w:t>
      </w:r>
    </w:p>
    <w:p w:rsidR="00C62BA9" w:rsidP="00C64863" w14:paraId="66FB49E4" w14:textId="77777777"/>
    <w:p w:rsidR="00C62BA9" w:rsidRPr="00750C34" w:rsidP="00C64863" w14:paraId="514E99C7" w14:textId="77777777">
      <w:r>
        <w:t xml:space="preserve">When testing for normality, a minimum of 15 samples should be used [Ref-2, STAT-18]. </w:t>
      </w:r>
      <w:r w:rsidRPr="00BE3106">
        <w:rPr>
          <w:b/>
          <w:bCs/>
        </w:rPr>
        <w:t>Anderson-Darling method must be used.</w:t>
      </w:r>
    </w:p>
    <w:p w:rsidR="00C62BA9" w:rsidP="00837D3D" w14:paraId="52D9D1A1" w14:textId="4CC18D5E">
      <w:pPr>
        <w:pStyle w:val="Heading3"/>
      </w:pPr>
      <w:r w:rsidRPr="004474E2">
        <w:rPr>
          <w:b/>
          <w:bCs/>
        </w:rPr>
        <w:t>Step 1:</w:t>
      </w:r>
      <w:r>
        <w:t xml:space="preserve"> </w:t>
      </w:r>
      <w:r>
        <w:t>Select “Stat”, then “Basic Statistics” and then “Normality Test”</w:t>
      </w:r>
    </w:p>
    <w:p w:rsidR="00FB2312" w:rsidP="00FB2312" w14:paraId="2934DDC1" w14:textId="77777777">
      <w:pPr>
        <w:keepNext/>
      </w:pPr>
      <w:r>
        <w:rPr>
          <w:noProof/>
        </w:rPr>
        <w:drawing>
          <wp:inline distT="0" distB="0" distL="0" distR="0">
            <wp:extent cx="3382518" cy="2811223"/>
            <wp:effectExtent l="19050" t="19050" r="27940" b="27305"/>
            <wp:docPr id="7037168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16891" name="Picture 1" descr="A screenshot of a computer&#10;&#10;Description automatically generated"/>
                    <pic:cNvPicPr/>
                  </pic:nvPicPr>
                  <pic:blipFill>
                    <a:blip xmlns:r="http://schemas.openxmlformats.org/officeDocument/2006/relationships" r:embed="rId20"/>
                    <a:stretch>
                      <a:fillRect/>
                    </a:stretch>
                  </pic:blipFill>
                  <pic:spPr>
                    <a:xfrm>
                      <a:off x="0" y="0"/>
                      <a:ext cx="3404971" cy="2829884"/>
                    </a:xfrm>
                    <a:prstGeom prst="rect">
                      <a:avLst/>
                    </a:prstGeom>
                    <a:ln w="12700">
                      <a:solidFill>
                        <a:schemeClr val="accent1"/>
                      </a:solidFill>
                    </a:ln>
                  </pic:spPr>
                </pic:pic>
              </a:graphicData>
            </a:graphic>
          </wp:inline>
        </w:drawing>
      </w:r>
    </w:p>
    <w:p w:rsidR="00C62BA9" w:rsidP="00FB2312" w14:paraId="094BDF8A" w14:textId="24FB1390">
      <w:pPr>
        <w:pStyle w:val="Caption"/>
      </w:pPr>
      <w:r>
        <w:t xml:space="preserve">Figure 9: </w:t>
      </w:r>
      <w:r>
        <w:t>MiniTab</w:t>
      </w:r>
      <w:r>
        <w:t xml:space="preserve"> screen shot</w:t>
      </w:r>
    </w:p>
    <w:p w:rsidR="00C62BA9" w:rsidP="00C62BA9" w14:paraId="3ECB60A3" w14:textId="77777777"/>
    <w:p w:rsidR="00C62BA9" w:rsidP="00C64863" w14:paraId="1B472D33" w14:textId="021437BE">
      <w:pPr>
        <w:pStyle w:val="ListParagraph"/>
        <w:numPr>
          <w:ilvl w:val="0"/>
          <w:numId w:val="0"/>
        </w:numPr>
        <w:rPr>
          <w:noProof/>
        </w:rPr>
      </w:pPr>
      <w:r>
        <w:t>Enter the column which includes the data into the “Variable” field. In this example the 15 samples are in column C1.</w:t>
      </w:r>
      <w:r w:rsidRPr="006B71EF">
        <w:rPr>
          <w:noProof/>
        </w:rPr>
        <w:t xml:space="preserve"> </w:t>
      </w:r>
      <w:r>
        <w:rPr>
          <w:noProof/>
        </w:rPr>
        <w:t xml:space="preserve">Minitab </w:t>
      </w:r>
      <w:r w:rsidRPr="004474E2">
        <w:rPr>
          <w:b/>
          <w:bCs/>
          <w:noProof/>
        </w:rPr>
        <w:t>uses Anderson-Darling</w:t>
      </w:r>
      <w:r>
        <w:rPr>
          <w:noProof/>
        </w:rPr>
        <w:t xml:space="preserve"> by default.  Use the default setting.</w:t>
      </w:r>
      <w:r w:rsidR="004474E2">
        <w:rPr>
          <w:noProof/>
        </w:rPr>
        <w:t xml:space="preserve"> Click “OK”</w:t>
      </w:r>
    </w:p>
    <w:p w:rsidR="00FB2312" w:rsidP="00FB2312" w14:paraId="3AAE74DB" w14:textId="0D008133">
      <w:pPr>
        <w:pStyle w:val="ListParagraph"/>
        <w:keepNext/>
        <w:numPr>
          <w:ilvl w:val="0"/>
          <w:numId w:val="0"/>
        </w:numPr>
      </w:pPr>
      <w:r>
        <w:rPr>
          <w:noProof/>
        </w:rPr>
        <mc:AlternateContent>
          <mc:Choice Requires="wps">
            <w:drawing>
              <wp:anchor distT="0" distB="0" distL="114300" distR="114300" simplePos="0" relativeHeight="251662336" behindDoc="0" locked="0" layoutInCell="1" allowOverlap="1">
                <wp:simplePos x="0" y="0"/>
                <wp:positionH relativeFrom="column">
                  <wp:posOffset>1005967</wp:posOffset>
                </wp:positionH>
                <wp:positionV relativeFrom="paragraph">
                  <wp:posOffset>1405052</wp:posOffset>
                </wp:positionV>
                <wp:extent cx="943661" cy="153619"/>
                <wp:effectExtent l="0" t="0" r="8890" b="0"/>
                <wp:wrapNone/>
                <wp:docPr id="618266299"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943661" cy="153619"/>
                        </a:xfrm>
                        <a:prstGeom prst="rect">
                          <a:avLst/>
                        </a:prstGeom>
                        <a:solidFill>
                          <a:srgbClr val="FFFF00">
                            <a:alpha val="20000"/>
                          </a:srgbClr>
                        </a:solidFill>
                        <a:ln w="25400">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5" style="width:74.3pt;height:12.1pt;margin-top:110.65pt;margin-left:79.2pt;mso-wrap-distance-bottom:0;mso-wrap-distance-left:9pt;mso-wrap-distance-right:9pt;mso-wrap-distance-top:0;mso-wrap-style:square;position:absolute;visibility:visible;v-text-anchor:middle;z-index:251663360" fillcolor="yellow" stroked="f" strokeweight="2pt">
                <v:fill opacity="13107f"/>
              </v:rect>
            </w:pict>
          </mc:Fallback>
        </mc:AlternateContent>
      </w:r>
      <w:r w:rsidR="00C62BA9">
        <w:rPr>
          <w:noProof/>
        </w:rPr>
        <w:drawing>
          <wp:inline distT="0" distB="0" distL="0" distR="0">
            <wp:extent cx="3382010" cy="2473737"/>
            <wp:effectExtent l="19050" t="19050" r="27940" b="22225"/>
            <wp:docPr id="419266711"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66711" name="Picture 1" descr="A screenshot of a test&#10;&#10;Description automatically generated"/>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3392621" cy="2481498"/>
                    </a:xfrm>
                    <a:prstGeom prst="rect">
                      <a:avLst/>
                    </a:prstGeom>
                    <a:ln w="12700">
                      <a:solidFill>
                        <a:srgbClr val="0066A1"/>
                      </a:solidFill>
                    </a:ln>
                  </pic:spPr>
                </pic:pic>
              </a:graphicData>
            </a:graphic>
          </wp:inline>
        </w:drawing>
      </w:r>
    </w:p>
    <w:p w:rsidR="00C62BA9" w:rsidP="00FB2312" w14:paraId="149DCB28" w14:textId="0CD4C11D">
      <w:pPr>
        <w:pStyle w:val="Caption"/>
      </w:pPr>
      <w:r>
        <w:t xml:space="preserve">Figure 10: </w:t>
      </w:r>
      <w:r w:rsidRPr="00C015DB">
        <w:t>MiniTab</w:t>
      </w:r>
      <w:r w:rsidRPr="00C015DB">
        <w:t xml:space="preserve"> screen shot</w:t>
      </w:r>
    </w:p>
    <w:p w:rsidR="004474E2" w:rsidP="00FE608E" w14:paraId="3A87D1F4" w14:textId="50545284">
      <w:pPr>
        <w:spacing w:after="120"/>
        <w:rPr>
          <w:b/>
          <w:bCs/>
        </w:rPr>
      </w:pPr>
      <w:r>
        <w:rPr>
          <w:b/>
          <w:bCs/>
        </w:rPr>
        <w:br w:type="page"/>
      </w:r>
    </w:p>
    <w:p w:rsidR="00FE608E" w:rsidP="00FE608E" w14:paraId="022A346F" w14:textId="7DD6F527">
      <w:pPr>
        <w:spacing w:after="120"/>
      </w:pPr>
      <w:r w:rsidRPr="004474E2">
        <w:rPr>
          <w:b/>
          <w:bCs/>
        </w:rPr>
        <w:t>Step 2:</w:t>
      </w:r>
      <w:r>
        <w:t xml:space="preserve"> </w:t>
      </w:r>
      <w:r w:rsidR="00C62BA9">
        <w:t>A probability plot of C1 appears. Check the P-Value. If the P-Value is greater than 0.05, the data is normal. The P-Value for this example is 0.346, therefore the normality test passes.</w:t>
      </w:r>
    </w:p>
    <w:p w:rsidR="00FB2312" w:rsidP="00FB2312" w14:paraId="41108EAD" w14:textId="184E5D17">
      <w:pPr>
        <w:pStyle w:val="ListParagraph"/>
        <w:keepNext/>
        <w:numPr>
          <w:ilvl w:val="0"/>
          <w:numId w:val="0"/>
        </w:numPr>
      </w:pPr>
      <w:r>
        <w:rPr>
          <w:noProof/>
        </w:rPr>
        <mc:AlternateContent>
          <mc:Choice Requires="wps">
            <w:drawing>
              <wp:anchor distT="0" distB="0" distL="114300" distR="114300" simplePos="0" relativeHeight="251664384" behindDoc="0" locked="0" layoutInCell="1" allowOverlap="1">
                <wp:simplePos x="0" y="0"/>
                <wp:positionH relativeFrom="column">
                  <wp:posOffset>3478505</wp:posOffset>
                </wp:positionH>
                <wp:positionV relativeFrom="paragraph">
                  <wp:posOffset>915391</wp:posOffset>
                </wp:positionV>
                <wp:extent cx="548640" cy="117043"/>
                <wp:effectExtent l="0" t="0" r="3810" b="0"/>
                <wp:wrapNone/>
                <wp:docPr id="1378107280"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548640" cy="117043"/>
                        </a:xfrm>
                        <a:prstGeom prst="rect">
                          <a:avLst/>
                        </a:prstGeom>
                        <a:solidFill>
                          <a:srgbClr val="FFFF00">
                            <a:alpha val="20000"/>
                          </a:srgbClr>
                        </a:solidFill>
                        <a:ln w="25400">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 o:spid="_x0000_s1026" style="width:43.2pt;height:9.2pt;margin-top:72.1pt;margin-left:273.9pt;mso-wrap-distance-bottom:0;mso-wrap-distance-left:9pt;mso-wrap-distance-right:9pt;mso-wrap-distance-top:0;mso-wrap-style:square;position:absolute;visibility:visible;v-text-anchor:middle;z-index:251665408" fillcolor="yellow" stroked="f" strokeweight="2pt">
                <v:fill opacity="13107f"/>
              </v:rect>
            </w:pict>
          </mc:Fallback>
        </mc:AlternateContent>
      </w:r>
      <w:r w:rsidRPr="006E37CE" w:rsidR="00C62BA9">
        <w:rPr>
          <w:noProof/>
        </w:rPr>
        <w:drawing>
          <wp:inline distT="0" distB="0" distL="0" distR="0">
            <wp:extent cx="4114800" cy="2743200"/>
            <wp:effectExtent l="19050" t="19050" r="19050" b="19050"/>
            <wp:docPr id="1975017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17804" name="Picture 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0" cy="2743200"/>
                    </a:xfrm>
                    <a:prstGeom prst="rect">
                      <a:avLst/>
                    </a:prstGeom>
                    <a:noFill/>
                    <a:ln w="12700">
                      <a:solidFill>
                        <a:srgbClr val="0066A1"/>
                      </a:solidFill>
                    </a:ln>
                  </pic:spPr>
                </pic:pic>
              </a:graphicData>
            </a:graphic>
          </wp:inline>
        </w:drawing>
      </w:r>
    </w:p>
    <w:p w:rsidR="00C62BA9" w:rsidP="00FB2312" w14:paraId="5C0F9F80" w14:textId="1BF33532">
      <w:pPr>
        <w:pStyle w:val="Caption"/>
      </w:pPr>
      <w:r>
        <w:t>Figure</w:t>
      </w:r>
      <w:r w:rsidR="003054A5">
        <w:t xml:space="preserve"> </w:t>
      </w:r>
      <w:r>
        <w:t xml:space="preserve">11: </w:t>
      </w:r>
      <w:r w:rsidRPr="00F54DDD">
        <w:t>MiniTab</w:t>
      </w:r>
      <w:r w:rsidRPr="00F54DDD">
        <w:t xml:space="preserve"> screen shot</w:t>
      </w:r>
    </w:p>
    <w:p w:rsidR="00C62BA9" w:rsidP="00C64863" w14:paraId="5E66CF62" w14:textId="77777777">
      <w:pPr>
        <w:pStyle w:val="ListParagraph"/>
        <w:numPr>
          <w:ilvl w:val="0"/>
          <w:numId w:val="0"/>
        </w:numPr>
        <w:ind w:left="-90"/>
      </w:pPr>
    </w:p>
    <w:p w:rsidR="00C62BA9" w:rsidP="004474E2" w14:paraId="292ED34C" w14:textId="3F399AE7">
      <w:pPr>
        <w:pStyle w:val="Heading2"/>
      </w:pPr>
      <w:bookmarkStart w:id="907" w:name="_Toc188651170"/>
      <w:bookmarkStart w:id="908" w:name="_Toc256000054"/>
      <w:r>
        <w:t>When Normality Tests Fail</w:t>
      </w:r>
      <w:bookmarkEnd w:id="908"/>
      <w:bookmarkEnd w:id="907"/>
    </w:p>
    <w:p w:rsidR="00C62BA9" w:rsidP="00837D3D" w14:paraId="046CC548" w14:textId="77777777">
      <w:pPr>
        <w:pStyle w:val="Heading3"/>
      </w:pPr>
      <w:r>
        <w:t>Some but not all reasons for nonnormality are:</w:t>
      </w:r>
    </w:p>
    <w:p w:rsidR="00C62BA9" w:rsidP="00837D3D" w14:paraId="5BD9173F" w14:textId="77777777">
      <w:pPr>
        <w:pStyle w:val="Heading3"/>
      </w:pPr>
      <w:r>
        <w:t>Intrinsically nonnormal data such as for example strength measurements. If a nonnormal distribution is expected, state as such in the protocol along with a plan to analyze the data with a distribution that best fits the data.</w:t>
      </w:r>
    </w:p>
    <w:p w:rsidR="00C62BA9" w:rsidP="00837D3D" w14:paraId="325DBFA7" w14:textId="77777777">
      <w:pPr>
        <w:pStyle w:val="Heading3"/>
      </w:pPr>
      <w:r w:rsidRPr="00183A57">
        <w:t>Extreme outliers. An outlier test may be performed in Minitab (Stat &gt; Basic Stats &gt; Outlier Test). Outliers can be removed if they are proven to be the result of measurement error. As applicable, measurements can be repeated, and the original data may be replaced with the</w:t>
      </w:r>
      <w:r>
        <w:t xml:space="preserve"> repeat measurement. If the outlier is a result of an instable process, the process should be improved, and the OQ/PQ study should be repeated as required. A time-sequential control chart is recommended to determine if the outlier is caused by process instability. If no root cause for an outlier is identified, the outlier may not be removed from the data set.</w:t>
      </w:r>
    </w:p>
    <w:p w:rsidR="00C62BA9" w:rsidP="00837D3D" w14:paraId="518E357F" w14:textId="77777777">
      <w:pPr>
        <w:pStyle w:val="Heading3"/>
      </w:pPr>
      <w:r>
        <w:t>Mixed distributions. This could be caused by an unstable process or an inadvertent change in one of the process inputs during the OQ/PQ run. The process should be improved, and the OQ/PQ study should be repeated as required.</w:t>
      </w:r>
    </w:p>
    <w:p w:rsidR="00C62BA9" w:rsidP="00837D3D" w14:paraId="57A71C15" w14:textId="77777777">
      <w:pPr>
        <w:pStyle w:val="Heading3"/>
      </w:pPr>
      <w:r>
        <w:t>Truncated distributions are commonly the result of sorting products before collecting samples for analysis.  If a process output does not meet the sampling plan’s criteria, the output must be inspected 100% (this only applies to product characteristics which can be fully verified).</w:t>
      </w:r>
    </w:p>
    <w:p w:rsidR="00C62BA9" w:rsidP="004474E2" w14:paraId="40ED2E64" w14:textId="77777777"/>
    <w:p w:rsidR="00C62BA9" w:rsidP="00105C91" w14:paraId="66198738" w14:textId="77777777">
      <w:pPr>
        <w:ind w:left="720"/>
      </w:pPr>
      <w:r>
        <w:t xml:space="preserve">Refer to your local statistical methods procedure for guidance on identifying a distribution that best fits the non-normal data. Once the distribution type is identified, Ppk and Pp may be calculated. </w:t>
      </w:r>
      <w:r w:rsidRPr="005C65AE">
        <w:t xml:space="preserve">Data transformation such as </w:t>
      </w:r>
      <w:r w:rsidRPr="005C65AE">
        <w:rPr>
          <w:color w:val="000000" w:themeColor="text1"/>
        </w:rPr>
        <w:t>Box-Cox or Johnson transformation should not be used</w:t>
      </w:r>
      <w:r>
        <w:t xml:space="preserve"> since transformed data are not representative of the actual process.</w:t>
      </w:r>
    </w:p>
    <w:p w:rsidR="00C62BA9" w:rsidP="00C62BA9" w14:paraId="7C6567D3" w14:textId="77777777">
      <w:r>
        <w:br w:type="page"/>
      </w:r>
    </w:p>
    <w:p w:rsidR="00C62BA9" w:rsidP="00A61F37" w14:paraId="594D0CDA" w14:textId="77777777">
      <w:pPr>
        <w:pStyle w:val="Heading1"/>
      </w:pPr>
      <w:bookmarkStart w:id="909" w:name="_Toc188651171"/>
      <w:bookmarkStart w:id="910" w:name="_Toc256000055"/>
      <w:r>
        <w:t>Calculating Ppk and Pp</w:t>
      </w:r>
      <w:bookmarkEnd w:id="910"/>
      <w:bookmarkEnd w:id="909"/>
    </w:p>
    <w:p w:rsidR="00E9650C" w:rsidP="004474E2" w14:paraId="00916E15" w14:textId="418AA8C5">
      <w:r w:rsidRPr="004474E2">
        <w:rPr>
          <w:b/>
          <w:bCs/>
        </w:rPr>
        <w:t>Step 1:</w:t>
      </w:r>
      <w:r>
        <w:t xml:space="preserve"> </w:t>
      </w:r>
      <w:r>
        <w:t>Select “Stat”, then “Quality Tools”, “Capability Analysis”, and then “Normal”.</w:t>
      </w:r>
    </w:p>
    <w:p w:rsidR="00FB2312" w:rsidP="00FB2312" w14:paraId="16DEDB3A" w14:textId="77777777">
      <w:pPr>
        <w:keepNext/>
      </w:pPr>
      <w:r>
        <w:rPr>
          <w:noProof/>
        </w:rPr>
        <w:drawing>
          <wp:inline distT="0" distB="0" distL="0" distR="0">
            <wp:extent cx="5868670" cy="3195320"/>
            <wp:effectExtent l="19050" t="19050" r="17780" b="24130"/>
            <wp:docPr id="15772264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26435" name="Picture 1" descr="A screenshot of a computer&#10;&#10;Description automatically generated"/>
                    <pic:cNvPicPr/>
                  </pic:nvPicPr>
                  <pic:blipFill>
                    <a:blip xmlns:r="http://schemas.openxmlformats.org/officeDocument/2006/relationships" r:embed="rId23"/>
                    <a:stretch>
                      <a:fillRect/>
                    </a:stretch>
                  </pic:blipFill>
                  <pic:spPr>
                    <a:xfrm>
                      <a:off x="0" y="0"/>
                      <a:ext cx="5868670" cy="3195320"/>
                    </a:xfrm>
                    <a:prstGeom prst="rect">
                      <a:avLst/>
                    </a:prstGeom>
                    <a:ln w="12700">
                      <a:solidFill>
                        <a:srgbClr val="0066A1"/>
                      </a:solidFill>
                    </a:ln>
                  </pic:spPr>
                </pic:pic>
              </a:graphicData>
            </a:graphic>
          </wp:inline>
        </w:drawing>
      </w:r>
    </w:p>
    <w:p w:rsidR="00E9650C" w:rsidP="00FB2312" w14:paraId="6638C669" w14:textId="5C4C7D46">
      <w:pPr>
        <w:pStyle w:val="Caption"/>
      </w:pPr>
      <w:r>
        <w:t>Figure</w:t>
      </w:r>
      <w:r w:rsidR="003054A5">
        <w:t xml:space="preserve"> </w:t>
      </w:r>
      <w:r>
        <w:t xml:space="preserve">12: </w:t>
      </w:r>
      <w:r w:rsidRPr="00697556">
        <w:t>MiniTab</w:t>
      </w:r>
      <w:r w:rsidRPr="00697556">
        <w:t xml:space="preserve"> screen shot</w:t>
      </w:r>
    </w:p>
    <w:p w:rsidR="00E9650C" w:rsidP="00E9650C" w14:paraId="2B209F7C" w14:textId="77777777"/>
    <w:p w:rsidR="00E9650C" w:rsidP="004474E2" w14:paraId="1D932839" w14:textId="34DABA48">
      <w:r w:rsidRPr="004474E2">
        <w:rPr>
          <w:b/>
          <w:bCs/>
        </w:rPr>
        <w:t>Step 2:</w:t>
      </w:r>
      <w:r>
        <w:t xml:space="preserve"> </w:t>
      </w:r>
      <w:r>
        <w:t>Single column is the default. Enter the column number that includes the data. In this example the data is stored in C1. Chose subgroup size of 1. Enter lower and upper spec as shown.</w:t>
      </w:r>
    </w:p>
    <w:p w:rsidR="00FB2312" w:rsidP="00FB2312" w14:paraId="75A2CDDA" w14:textId="77777777">
      <w:pPr>
        <w:keepNext/>
      </w:pPr>
      <w:r>
        <w:rPr>
          <w:noProof/>
        </w:rPr>
        <w:drawing>
          <wp:inline distT="0" distB="0" distL="0" distR="0">
            <wp:extent cx="4133088" cy="2926080"/>
            <wp:effectExtent l="19050" t="19050" r="20320" b="26670"/>
            <wp:docPr id="7806156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15672" name="Picture 1" descr="A screenshot of a computer&#10;&#10;Description automatically generated"/>
                    <pic:cNvPicPr/>
                  </pic:nvPicPr>
                  <pic:blipFill>
                    <a:blip xmlns:r="http://schemas.openxmlformats.org/officeDocument/2006/relationships" r:embed="rId24"/>
                    <a:stretch>
                      <a:fillRect/>
                    </a:stretch>
                  </pic:blipFill>
                  <pic:spPr>
                    <a:xfrm>
                      <a:off x="0" y="0"/>
                      <a:ext cx="4133088" cy="2926080"/>
                    </a:xfrm>
                    <a:prstGeom prst="rect">
                      <a:avLst/>
                    </a:prstGeom>
                    <a:ln w="12700">
                      <a:solidFill>
                        <a:srgbClr val="0066A1"/>
                      </a:solidFill>
                    </a:ln>
                  </pic:spPr>
                </pic:pic>
              </a:graphicData>
            </a:graphic>
          </wp:inline>
        </w:drawing>
      </w:r>
    </w:p>
    <w:p w:rsidR="00E9650C" w:rsidP="00FB2312" w14:paraId="317AD3D2" w14:textId="7D6EC642">
      <w:pPr>
        <w:pStyle w:val="Caption"/>
      </w:pPr>
      <w:r>
        <w:t>Figure</w:t>
      </w:r>
      <w:r w:rsidR="003054A5">
        <w:t xml:space="preserve"> </w:t>
      </w:r>
      <w:r>
        <w:t xml:space="preserve">13: </w:t>
      </w:r>
      <w:r w:rsidRPr="000069A5">
        <w:t>MiniTab</w:t>
      </w:r>
      <w:r w:rsidRPr="000069A5">
        <w:t xml:space="preserve"> screen shot</w:t>
      </w:r>
    </w:p>
    <w:p w:rsidR="00E9650C" w:rsidP="00E9650C" w14:paraId="501CF335" w14:textId="77777777">
      <w:r>
        <w:br w:type="page"/>
      </w:r>
    </w:p>
    <w:p w:rsidR="00E9650C" w:rsidP="00DF64E0" w14:paraId="01AB22E2" w14:textId="5012AAD0">
      <w:r w:rsidRPr="00DF64E0">
        <w:rPr>
          <w:b/>
          <w:bCs/>
        </w:rPr>
        <w:t>Step 3:</w:t>
      </w:r>
      <w:r>
        <w:t xml:space="preserve"> </w:t>
      </w:r>
      <w:r>
        <w:t>Click on “Options” and Deselect “Within subgroup analysis”.  This is specific to the sampling plans, as we only calculate the Ppk and Pp values.</w:t>
      </w:r>
    </w:p>
    <w:p w:rsidR="00FB2312" w:rsidP="00FB2312" w14:paraId="37C274B2" w14:textId="77777777">
      <w:pPr>
        <w:keepNext/>
      </w:pPr>
      <w:r>
        <w:rPr>
          <w:noProof/>
        </w:rPr>
        <w:drawing>
          <wp:inline distT="0" distB="0" distL="0" distR="0">
            <wp:extent cx="3904488" cy="3017520"/>
            <wp:effectExtent l="19050" t="19050" r="20320" b="11430"/>
            <wp:docPr id="20369036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03621" name="Picture 1" descr="A screenshot of a computer&#10;&#10;Description automatically generated"/>
                    <pic:cNvPicPr/>
                  </pic:nvPicPr>
                  <pic:blipFill>
                    <a:blip xmlns:r="http://schemas.openxmlformats.org/officeDocument/2006/relationships" r:embed="rId25"/>
                    <a:stretch>
                      <a:fillRect/>
                    </a:stretch>
                  </pic:blipFill>
                  <pic:spPr>
                    <a:xfrm>
                      <a:off x="0" y="0"/>
                      <a:ext cx="3904488" cy="3017520"/>
                    </a:xfrm>
                    <a:prstGeom prst="rect">
                      <a:avLst/>
                    </a:prstGeom>
                    <a:ln w="12700">
                      <a:solidFill>
                        <a:srgbClr val="0066A1"/>
                      </a:solidFill>
                    </a:ln>
                  </pic:spPr>
                </pic:pic>
              </a:graphicData>
            </a:graphic>
          </wp:inline>
        </w:drawing>
      </w:r>
    </w:p>
    <w:p w:rsidR="00E9650C" w:rsidP="00FB2312" w14:paraId="1D65D76D" w14:textId="58388B74">
      <w:pPr>
        <w:pStyle w:val="Caption"/>
      </w:pPr>
      <w:r>
        <w:t>Figur</w:t>
      </w:r>
      <w:r w:rsidR="003054A5">
        <w:t xml:space="preserve">e </w:t>
      </w:r>
      <w:r>
        <w:t xml:space="preserve">14: </w:t>
      </w:r>
      <w:r w:rsidRPr="00A04A98">
        <w:t>MiniTab</w:t>
      </w:r>
      <w:r w:rsidRPr="00A04A98">
        <w:t xml:space="preserve"> screen shot</w:t>
      </w:r>
    </w:p>
    <w:p w:rsidR="00E9650C" w:rsidP="00E9650C" w14:paraId="6706213A" w14:textId="77777777"/>
    <w:p w:rsidR="00E9650C" w:rsidP="00DF64E0" w14:paraId="71359A7D" w14:textId="31BE67C2">
      <w:r w:rsidRPr="00DF64E0">
        <w:rPr>
          <w:b/>
          <w:bCs/>
        </w:rPr>
        <w:t>Step 4:</w:t>
      </w:r>
      <w:r>
        <w:t xml:space="preserve"> </w:t>
      </w:r>
      <w:r>
        <w:t>Click OK twice and review the results.</w:t>
      </w:r>
    </w:p>
    <w:p w:rsidR="00FB2312" w:rsidP="00FB2312" w14:paraId="7B85E8C7" w14:textId="77777777">
      <w:pPr>
        <w:keepNext/>
      </w:pPr>
      <w:r w:rsidRPr="00E02C4F">
        <w:rPr>
          <w:noProof/>
        </w:rPr>
        <w:drawing>
          <wp:inline distT="0" distB="0" distL="0" distR="0">
            <wp:extent cx="3904488" cy="2926080"/>
            <wp:effectExtent l="19050" t="19050" r="20320" b="26670"/>
            <wp:docPr id="14692422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42221" name="Picture 4"/>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04488" cy="2926080"/>
                    </a:xfrm>
                    <a:prstGeom prst="rect">
                      <a:avLst/>
                    </a:prstGeom>
                    <a:noFill/>
                    <a:ln w="12700">
                      <a:solidFill>
                        <a:srgbClr val="0066A1"/>
                      </a:solidFill>
                    </a:ln>
                  </pic:spPr>
                </pic:pic>
              </a:graphicData>
            </a:graphic>
          </wp:inline>
        </w:drawing>
      </w:r>
    </w:p>
    <w:p w:rsidR="00E9650C" w:rsidP="00FB2312" w14:paraId="3074A73F" w14:textId="0C4AB4EA">
      <w:pPr>
        <w:pStyle w:val="Caption"/>
      </w:pPr>
      <w:r>
        <w:t>Figure</w:t>
      </w:r>
      <w:r w:rsidR="003054A5">
        <w:t xml:space="preserve"> </w:t>
      </w:r>
      <w:r>
        <w:t xml:space="preserve">15: </w:t>
      </w:r>
      <w:r w:rsidRPr="00836E1A">
        <w:t>MiniTab</w:t>
      </w:r>
      <w:r w:rsidRPr="00836E1A">
        <w:t xml:space="preserve"> screen shot</w:t>
      </w:r>
    </w:p>
    <w:p w:rsidR="00E9650C" w:rsidP="00E9650C" w14:paraId="0640DCDA" w14:textId="77777777">
      <w:r>
        <w:br w:type="page"/>
      </w:r>
    </w:p>
    <w:p w:rsidR="00E9650C" w:rsidP="00A61F37" w14:paraId="01655D2F" w14:textId="77777777">
      <w:pPr>
        <w:pStyle w:val="Heading1"/>
      </w:pPr>
      <w:bookmarkStart w:id="911" w:name="_Toc171513605"/>
      <w:bookmarkStart w:id="912" w:name="_Toc171514255"/>
      <w:bookmarkStart w:id="913" w:name="_Toc171516908"/>
      <w:bookmarkStart w:id="914" w:name="_Toc171517544"/>
      <w:bookmarkStart w:id="915" w:name="_Toc171513606"/>
      <w:bookmarkStart w:id="916" w:name="_Toc171514256"/>
      <w:bookmarkStart w:id="917" w:name="_Toc171516909"/>
      <w:bookmarkStart w:id="918" w:name="_Toc171517545"/>
      <w:bookmarkStart w:id="919" w:name="_Toc171513607"/>
      <w:bookmarkStart w:id="920" w:name="_Toc171514257"/>
      <w:bookmarkStart w:id="921" w:name="_Toc171516910"/>
      <w:bookmarkStart w:id="922" w:name="_Toc171517546"/>
      <w:bookmarkStart w:id="923" w:name="_Toc171513608"/>
      <w:bookmarkStart w:id="924" w:name="_Toc171514258"/>
      <w:bookmarkStart w:id="925" w:name="_Toc171516911"/>
      <w:bookmarkStart w:id="926" w:name="_Toc171517547"/>
      <w:bookmarkStart w:id="927" w:name="_Toc171513609"/>
      <w:bookmarkStart w:id="928" w:name="_Toc171514259"/>
      <w:bookmarkStart w:id="929" w:name="_Toc171516912"/>
      <w:bookmarkStart w:id="930" w:name="_Toc171517548"/>
      <w:bookmarkStart w:id="931" w:name="_Toc171513610"/>
      <w:bookmarkStart w:id="932" w:name="_Toc171514260"/>
      <w:bookmarkStart w:id="933" w:name="_Toc171516913"/>
      <w:bookmarkStart w:id="934" w:name="_Toc171517549"/>
      <w:bookmarkStart w:id="935" w:name="_Toc171513611"/>
      <w:bookmarkStart w:id="936" w:name="_Toc171514261"/>
      <w:bookmarkStart w:id="937" w:name="_Toc171516914"/>
      <w:bookmarkStart w:id="938" w:name="_Toc171517550"/>
      <w:bookmarkStart w:id="939" w:name="_Toc171513612"/>
      <w:bookmarkStart w:id="940" w:name="_Toc171514262"/>
      <w:bookmarkStart w:id="941" w:name="_Toc171516915"/>
      <w:bookmarkStart w:id="942" w:name="_Toc171517551"/>
      <w:bookmarkStart w:id="943" w:name="_Toc171513613"/>
      <w:bookmarkStart w:id="944" w:name="_Toc171514263"/>
      <w:bookmarkStart w:id="945" w:name="_Toc171516916"/>
      <w:bookmarkStart w:id="946" w:name="_Toc171517552"/>
      <w:bookmarkStart w:id="947" w:name="_Toc171513614"/>
      <w:bookmarkStart w:id="948" w:name="_Toc171514264"/>
      <w:bookmarkStart w:id="949" w:name="_Toc171516917"/>
      <w:bookmarkStart w:id="950" w:name="_Toc171517553"/>
      <w:bookmarkStart w:id="951" w:name="_Toc171513615"/>
      <w:bookmarkStart w:id="952" w:name="_Toc171514265"/>
      <w:bookmarkStart w:id="953" w:name="_Toc171516918"/>
      <w:bookmarkStart w:id="954" w:name="_Toc171517554"/>
      <w:bookmarkStart w:id="955" w:name="_Toc171513616"/>
      <w:bookmarkStart w:id="956" w:name="_Toc171514266"/>
      <w:bookmarkStart w:id="957" w:name="_Toc171516919"/>
      <w:bookmarkStart w:id="958" w:name="_Toc171517555"/>
      <w:bookmarkStart w:id="959" w:name="_Toc171513617"/>
      <w:bookmarkStart w:id="960" w:name="_Toc171514267"/>
      <w:bookmarkStart w:id="961" w:name="_Toc171516920"/>
      <w:bookmarkStart w:id="962" w:name="_Toc171517556"/>
      <w:bookmarkStart w:id="963" w:name="_Toc171513618"/>
      <w:bookmarkStart w:id="964" w:name="_Toc171514268"/>
      <w:bookmarkStart w:id="965" w:name="_Toc171516921"/>
      <w:bookmarkStart w:id="966" w:name="_Toc171517557"/>
      <w:bookmarkStart w:id="967" w:name="_Toc171513619"/>
      <w:bookmarkStart w:id="968" w:name="_Toc171514269"/>
      <w:bookmarkStart w:id="969" w:name="_Toc171516922"/>
      <w:bookmarkStart w:id="970" w:name="_Toc171517558"/>
      <w:bookmarkStart w:id="971" w:name="_Toc171513620"/>
      <w:bookmarkStart w:id="972" w:name="_Toc171514270"/>
      <w:bookmarkStart w:id="973" w:name="_Toc171516923"/>
      <w:bookmarkStart w:id="974" w:name="_Toc171517559"/>
      <w:bookmarkStart w:id="975" w:name="_Toc171513621"/>
      <w:bookmarkStart w:id="976" w:name="_Toc171514271"/>
      <w:bookmarkStart w:id="977" w:name="_Toc171516924"/>
      <w:bookmarkStart w:id="978" w:name="_Toc171517560"/>
      <w:bookmarkStart w:id="979" w:name="_Toc171513622"/>
      <w:bookmarkStart w:id="980" w:name="_Toc171514272"/>
      <w:bookmarkStart w:id="981" w:name="_Toc171516925"/>
      <w:bookmarkStart w:id="982" w:name="_Toc171517561"/>
      <w:bookmarkStart w:id="983" w:name="_Toc171513623"/>
      <w:bookmarkStart w:id="984" w:name="_Toc171514273"/>
      <w:bookmarkStart w:id="985" w:name="_Toc171516926"/>
      <w:bookmarkStart w:id="986" w:name="_Toc171517562"/>
      <w:bookmarkStart w:id="987" w:name="_Toc171513624"/>
      <w:bookmarkStart w:id="988" w:name="_Toc171514274"/>
      <w:bookmarkStart w:id="989" w:name="_Toc171516927"/>
      <w:bookmarkStart w:id="990" w:name="_Toc171517563"/>
      <w:bookmarkStart w:id="991" w:name="_Toc171513625"/>
      <w:bookmarkStart w:id="992" w:name="_Toc171514275"/>
      <w:bookmarkStart w:id="993" w:name="_Toc171516928"/>
      <w:bookmarkStart w:id="994" w:name="_Toc171517564"/>
      <w:bookmarkStart w:id="995" w:name="_Toc171513626"/>
      <w:bookmarkStart w:id="996" w:name="_Toc171514276"/>
      <w:bookmarkStart w:id="997" w:name="_Toc171516929"/>
      <w:bookmarkStart w:id="998" w:name="_Toc171517565"/>
      <w:bookmarkStart w:id="999" w:name="_Toc171513627"/>
      <w:bookmarkStart w:id="1000" w:name="_Toc171514277"/>
      <w:bookmarkStart w:id="1001" w:name="_Toc171516930"/>
      <w:bookmarkStart w:id="1002" w:name="_Toc171517566"/>
      <w:bookmarkStart w:id="1003" w:name="_Toc171513628"/>
      <w:bookmarkStart w:id="1004" w:name="_Toc171514278"/>
      <w:bookmarkStart w:id="1005" w:name="_Toc171516931"/>
      <w:bookmarkStart w:id="1006" w:name="_Toc171517567"/>
      <w:bookmarkStart w:id="1007" w:name="_Toc171513629"/>
      <w:bookmarkStart w:id="1008" w:name="_Toc171514279"/>
      <w:bookmarkStart w:id="1009" w:name="_Toc171516932"/>
      <w:bookmarkStart w:id="1010" w:name="_Toc171517568"/>
      <w:bookmarkStart w:id="1011" w:name="_Toc171513630"/>
      <w:bookmarkStart w:id="1012" w:name="_Toc171514280"/>
      <w:bookmarkStart w:id="1013" w:name="_Toc171516933"/>
      <w:bookmarkStart w:id="1014" w:name="_Toc171517569"/>
      <w:bookmarkStart w:id="1015" w:name="_Toc171513655"/>
      <w:bookmarkStart w:id="1016" w:name="_Toc171514305"/>
      <w:bookmarkStart w:id="1017" w:name="_Toc171516958"/>
      <w:bookmarkStart w:id="1018" w:name="_Toc171517594"/>
      <w:bookmarkStart w:id="1019" w:name="_Toc171513680"/>
      <w:bookmarkStart w:id="1020" w:name="_Toc171514330"/>
      <w:bookmarkStart w:id="1021" w:name="_Toc171516983"/>
      <w:bookmarkStart w:id="1022" w:name="_Toc171517619"/>
      <w:bookmarkStart w:id="1023" w:name="_Toc171513681"/>
      <w:bookmarkStart w:id="1024" w:name="_Toc171514331"/>
      <w:bookmarkStart w:id="1025" w:name="_Toc171516984"/>
      <w:bookmarkStart w:id="1026" w:name="_Toc171517620"/>
      <w:bookmarkStart w:id="1027" w:name="_Toc171513702"/>
      <w:bookmarkStart w:id="1028" w:name="_Toc171514352"/>
      <w:bookmarkStart w:id="1029" w:name="_Toc171517005"/>
      <w:bookmarkStart w:id="1030" w:name="_Toc171517641"/>
      <w:bookmarkStart w:id="1031" w:name="_Toc170296015"/>
      <w:bookmarkStart w:id="1032" w:name="_Toc170296536"/>
      <w:bookmarkStart w:id="1033" w:name="_Toc170311224"/>
      <w:bookmarkStart w:id="1034" w:name="_Toc170311748"/>
      <w:bookmarkStart w:id="1035" w:name="_Toc170312272"/>
      <w:bookmarkStart w:id="1036" w:name="_Toc171483683"/>
      <w:bookmarkStart w:id="1037" w:name="_Toc171503952"/>
      <w:bookmarkStart w:id="1038" w:name="_Toc171504487"/>
      <w:bookmarkStart w:id="1039" w:name="_Toc171513703"/>
      <w:bookmarkStart w:id="1040" w:name="_Toc171514353"/>
      <w:bookmarkStart w:id="1041" w:name="_Toc171517006"/>
      <w:bookmarkStart w:id="1042" w:name="_Toc171517642"/>
      <w:bookmarkStart w:id="1043" w:name="_Toc170296016"/>
      <w:bookmarkStart w:id="1044" w:name="_Toc170296537"/>
      <w:bookmarkStart w:id="1045" w:name="_Toc170311225"/>
      <w:bookmarkStart w:id="1046" w:name="_Toc170311749"/>
      <w:bookmarkStart w:id="1047" w:name="_Toc170312273"/>
      <w:bookmarkStart w:id="1048" w:name="_Toc171483684"/>
      <w:bookmarkStart w:id="1049" w:name="_Toc171503953"/>
      <w:bookmarkStart w:id="1050" w:name="_Toc171504488"/>
      <w:bookmarkStart w:id="1051" w:name="_Toc171513704"/>
      <w:bookmarkStart w:id="1052" w:name="_Toc171514354"/>
      <w:bookmarkStart w:id="1053" w:name="_Toc171517007"/>
      <w:bookmarkStart w:id="1054" w:name="_Toc171517643"/>
      <w:bookmarkStart w:id="1055" w:name="_Toc170296017"/>
      <w:bookmarkStart w:id="1056" w:name="_Toc170296538"/>
      <w:bookmarkStart w:id="1057" w:name="_Toc170311226"/>
      <w:bookmarkStart w:id="1058" w:name="_Toc170311750"/>
      <w:bookmarkStart w:id="1059" w:name="_Toc170312274"/>
      <w:bookmarkStart w:id="1060" w:name="_Toc171483685"/>
      <w:bookmarkStart w:id="1061" w:name="_Toc171503954"/>
      <w:bookmarkStart w:id="1062" w:name="_Toc171504489"/>
      <w:bookmarkStart w:id="1063" w:name="_Toc171513705"/>
      <w:bookmarkStart w:id="1064" w:name="_Toc171514355"/>
      <w:bookmarkStart w:id="1065" w:name="_Toc171517008"/>
      <w:bookmarkStart w:id="1066" w:name="_Toc171517644"/>
      <w:bookmarkStart w:id="1067" w:name="_Toc170296019"/>
      <w:bookmarkStart w:id="1068" w:name="_Toc170296540"/>
      <w:bookmarkStart w:id="1069" w:name="_Toc170311228"/>
      <w:bookmarkStart w:id="1070" w:name="_Toc170311752"/>
      <w:bookmarkStart w:id="1071" w:name="_Toc170312276"/>
      <w:bookmarkStart w:id="1072" w:name="_Toc171483687"/>
      <w:bookmarkStart w:id="1073" w:name="_Toc171503956"/>
      <w:bookmarkStart w:id="1074" w:name="_Toc171504491"/>
      <w:bookmarkStart w:id="1075" w:name="_Toc171513707"/>
      <w:bookmarkStart w:id="1076" w:name="_Toc171514357"/>
      <w:bookmarkStart w:id="1077" w:name="_Toc171517010"/>
      <w:bookmarkStart w:id="1078" w:name="_Toc171517646"/>
      <w:bookmarkStart w:id="1079" w:name="_Toc170296020"/>
      <w:bookmarkStart w:id="1080" w:name="_Toc170296541"/>
      <w:bookmarkStart w:id="1081" w:name="_Toc170311229"/>
      <w:bookmarkStart w:id="1082" w:name="_Toc170311753"/>
      <w:bookmarkStart w:id="1083" w:name="_Toc170312277"/>
      <w:bookmarkStart w:id="1084" w:name="_Toc171483688"/>
      <w:bookmarkStart w:id="1085" w:name="_Toc171503957"/>
      <w:bookmarkStart w:id="1086" w:name="_Toc171504492"/>
      <w:bookmarkStart w:id="1087" w:name="_Toc171513708"/>
      <w:bookmarkStart w:id="1088" w:name="_Toc171514358"/>
      <w:bookmarkStart w:id="1089" w:name="_Toc171517011"/>
      <w:bookmarkStart w:id="1090" w:name="_Toc171517647"/>
      <w:bookmarkStart w:id="1091" w:name="_Toc170296021"/>
      <w:bookmarkStart w:id="1092" w:name="_Toc170296542"/>
      <w:bookmarkStart w:id="1093" w:name="_Toc170311230"/>
      <w:bookmarkStart w:id="1094" w:name="_Toc170311754"/>
      <w:bookmarkStart w:id="1095" w:name="_Toc170312278"/>
      <w:bookmarkStart w:id="1096" w:name="_Toc171483689"/>
      <w:bookmarkStart w:id="1097" w:name="_Toc171503958"/>
      <w:bookmarkStart w:id="1098" w:name="_Toc171504493"/>
      <w:bookmarkStart w:id="1099" w:name="_Toc171513709"/>
      <w:bookmarkStart w:id="1100" w:name="_Toc171514359"/>
      <w:bookmarkStart w:id="1101" w:name="_Toc171517012"/>
      <w:bookmarkStart w:id="1102" w:name="_Toc171517648"/>
      <w:bookmarkStart w:id="1103" w:name="_Toc170296022"/>
      <w:bookmarkStart w:id="1104" w:name="_Toc170296543"/>
      <w:bookmarkStart w:id="1105" w:name="_Toc170311231"/>
      <w:bookmarkStart w:id="1106" w:name="_Toc170311755"/>
      <w:bookmarkStart w:id="1107" w:name="_Toc170312279"/>
      <w:bookmarkStart w:id="1108" w:name="_Toc171483690"/>
      <w:bookmarkStart w:id="1109" w:name="_Toc171503959"/>
      <w:bookmarkStart w:id="1110" w:name="_Toc171504494"/>
      <w:bookmarkStart w:id="1111" w:name="_Toc171513710"/>
      <w:bookmarkStart w:id="1112" w:name="_Toc171514360"/>
      <w:bookmarkStart w:id="1113" w:name="_Toc171517013"/>
      <w:bookmarkStart w:id="1114" w:name="_Toc171517649"/>
      <w:bookmarkStart w:id="1115" w:name="_Toc170296023"/>
      <w:bookmarkStart w:id="1116" w:name="_Toc170296544"/>
      <w:bookmarkStart w:id="1117" w:name="_Toc170311232"/>
      <w:bookmarkStart w:id="1118" w:name="_Toc170311756"/>
      <w:bookmarkStart w:id="1119" w:name="_Toc170312280"/>
      <w:bookmarkStart w:id="1120" w:name="_Toc171483691"/>
      <w:bookmarkStart w:id="1121" w:name="_Toc171503960"/>
      <w:bookmarkStart w:id="1122" w:name="_Toc171504495"/>
      <w:bookmarkStart w:id="1123" w:name="_Toc171513711"/>
      <w:bookmarkStart w:id="1124" w:name="_Toc171514361"/>
      <w:bookmarkStart w:id="1125" w:name="_Toc171517014"/>
      <w:bookmarkStart w:id="1126" w:name="_Toc171517650"/>
      <w:bookmarkStart w:id="1127" w:name="_Toc170296024"/>
      <w:bookmarkStart w:id="1128" w:name="_Toc170296545"/>
      <w:bookmarkStart w:id="1129" w:name="_Toc170311233"/>
      <w:bookmarkStart w:id="1130" w:name="_Toc170311757"/>
      <w:bookmarkStart w:id="1131" w:name="_Toc170312281"/>
      <w:bookmarkStart w:id="1132" w:name="_Toc171483692"/>
      <w:bookmarkStart w:id="1133" w:name="_Toc171503961"/>
      <w:bookmarkStart w:id="1134" w:name="_Toc171504496"/>
      <w:bookmarkStart w:id="1135" w:name="_Toc171513712"/>
      <w:bookmarkStart w:id="1136" w:name="_Toc171514362"/>
      <w:bookmarkStart w:id="1137" w:name="_Toc171517015"/>
      <w:bookmarkStart w:id="1138" w:name="_Toc171517651"/>
      <w:bookmarkStart w:id="1139" w:name="_Toc170296025"/>
      <w:bookmarkStart w:id="1140" w:name="_Toc170296546"/>
      <w:bookmarkStart w:id="1141" w:name="_Toc170311234"/>
      <w:bookmarkStart w:id="1142" w:name="_Toc170311758"/>
      <w:bookmarkStart w:id="1143" w:name="_Toc170312282"/>
      <w:bookmarkStart w:id="1144" w:name="_Toc171483693"/>
      <w:bookmarkStart w:id="1145" w:name="_Toc171503962"/>
      <w:bookmarkStart w:id="1146" w:name="_Toc171504497"/>
      <w:bookmarkStart w:id="1147" w:name="_Toc171513713"/>
      <w:bookmarkStart w:id="1148" w:name="_Toc171514363"/>
      <w:bookmarkStart w:id="1149" w:name="_Toc171517016"/>
      <w:bookmarkStart w:id="1150" w:name="_Toc171517652"/>
      <w:bookmarkStart w:id="1151" w:name="_Toc170296026"/>
      <w:bookmarkStart w:id="1152" w:name="_Toc170296547"/>
      <w:bookmarkStart w:id="1153" w:name="_Toc170311235"/>
      <w:bookmarkStart w:id="1154" w:name="_Toc170311759"/>
      <w:bookmarkStart w:id="1155" w:name="_Toc170312283"/>
      <w:bookmarkStart w:id="1156" w:name="_Toc171483694"/>
      <w:bookmarkStart w:id="1157" w:name="_Toc171503963"/>
      <w:bookmarkStart w:id="1158" w:name="_Toc171504498"/>
      <w:bookmarkStart w:id="1159" w:name="_Toc171513714"/>
      <w:bookmarkStart w:id="1160" w:name="_Toc171514364"/>
      <w:bookmarkStart w:id="1161" w:name="_Toc171517017"/>
      <w:bookmarkStart w:id="1162" w:name="_Toc171517653"/>
      <w:bookmarkStart w:id="1163" w:name="_Toc166687366"/>
      <w:bookmarkStart w:id="1164" w:name="_Toc188651172"/>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Start w:id="1165" w:name="_Toc256000056"/>
      <w:r>
        <w:t>Manual Processes</w:t>
      </w:r>
      <w:bookmarkEnd w:id="1165"/>
      <w:bookmarkEnd w:id="1163"/>
      <w:bookmarkEnd w:id="1164"/>
      <w:r>
        <w:t xml:space="preserve">   </w:t>
      </w:r>
    </w:p>
    <w:p w:rsidR="00E9650C" w:rsidRPr="000F42CD" w:rsidP="00E9650C" w14:paraId="3202ADD7" w14:textId="77777777">
      <w:pPr>
        <w:spacing w:after="60"/>
        <w:rPr>
          <w:color w:val="000000" w:themeColor="text1"/>
        </w:rPr>
      </w:pPr>
      <w:r w:rsidRPr="000F42CD">
        <w:rPr>
          <w:color w:val="000000" w:themeColor="text1"/>
        </w:rPr>
        <w:t xml:space="preserve">Manual processes are not validated in the classical sense. The AAMI Quality System Compendium [Ref-7] states </w:t>
      </w:r>
      <w:r w:rsidRPr="000F42CD">
        <w:rPr>
          <w:i/>
          <w:iCs/>
          <w:color w:val="000000" w:themeColor="text1"/>
        </w:rPr>
        <w:t xml:space="preserve">that for manual processes, the process outputs are controlled by a person’s actions. The intent is still to demonstrate that the process is repeatable, and this can be substantiated with a statistical confidence level. [Ref-7] </w:t>
      </w:r>
      <w:r w:rsidRPr="000F42CD">
        <w:rPr>
          <w:color w:val="000000" w:themeColor="text1"/>
        </w:rPr>
        <w:t xml:space="preserve">describes some activities manufacturers complete that lead to a conclusion about process capability. </w:t>
      </w:r>
      <w:r w:rsidRPr="471F23AE">
        <w:rPr>
          <w:color w:val="000000" w:themeColor="text2"/>
        </w:rPr>
        <w:t xml:space="preserve">In some cases, this is referred to as </w:t>
      </w:r>
      <w:r>
        <w:rPr>
          <w:color w:val="000000" w:themeColor="text2"/>
        </w:rPr>
        <w:t>p</w:t>
      </w:r>
      <w:r w:rsidRPr="471F23AE">
        <w:rPr>
          <w:color w:val="000000" w:themeColor="text2"/>
        </w:rPr>
        <w:t xml:space="preserve">rocess </w:t>
      </w:r>
      <w:r>
        <w:rPr>
          <w:color w:val="000000" w:themeColor="text2"/>
        </w:rPr>
        <w:t>output v</w:t>
      </w:r>
      <w:r w:rsidRPr="471F23AE">
        <w:rPr>
          <w:color w:val="000000" w:themeColor="text2"/>
        </w:rPr>
        <w:t xml:space="preserve">erification where product builds are subjected to testing to ensure they meet pre-defined requirements. In-process inspections and rework steps are included. Samples are taken from the end of the process from those units deemed </w:t>
      </w:r>
      <w:r>
        <w:rPr>
          <w:color w:val="000000" w:themeColor="text2"/>
        </w:rPr>
        <w:t xml:space="preserve">to be </w:t>
      </w:r>
      <w:r w:rsidRPr="471F23AE">
        <w:rPr>
          <w:color w:val="000000" w:themeColor="text2"/>
        </w:rPr>
        <w:t>pass</w:t>
      </w:r>
      <w:r>
        <w:rPr>
          <w:color w:val="000000" w:themeColor="text2"/>
        </w:rPr>
        <w:t>ing</w:t>
      </w:r>
      <w:r w:rsidRPr="471F23AE">
        <w:rPr>
          <w:color w:val="000000" w:themeColor="text2"/>
        </w:rPr>
        <w:t xml:space="preserve"> by inspections.</w:t>
      </w:r>
    </w:p>
    <w:p w:rsidR="00DF64E0" w:rsidP="00DF64E0" w14:paraId="1BC3944C" w14:textId="099185DE">
      <w:pPr>
        <w:pStyle w:val="Heading2"/>
      </w:pPr>
      <w:bookmarkStart w:id="1166" w:name="_Toc256000057"/>
      <w:r>
        <w:t>Establishing Repeatable Manual Processes</w:t>
      </w:r>
      <w:bookmarkEnd w:id="1166"/>
    </w:p>
    <w:p w:rsidR="00E9650C" w:rsidRPr="00D6051A" w:rsidP="00837D3D" w14:paraId="2BD3E2B4" w14:textId="058A0A8E">
      <w:pPr>
        <w:pStyle w:val="Heading3"/>
        <w:rPr>
          <w:i/>
          <w:iCs/>
        </w:rPr>
      </w:pPr>
      <w:r w:rsidRPr="00D6051A">
        <w:t>First, sources of variation are minimized. For example, using a custom holding fixture can reduce the variability for an assembly or soldering process.</w:t>
      </w:r>
    </w:p>
    <w:p w:rsidR="00E9650C" w:rsidRPr="00D6051A" w:rsidP="00837D3D" w14:paraId="7AACE5CF" w14:textId="77777777">
      <w:pPr>
        <w:pStyle w:val="Heading3"/>
        <w:rPr>
          <w:i/>
          <w:iCs/>
        </w:rPr>
      </w:pPr>
      <w:r w:rsidRPr="00D6051A">
        <w:t>Second, the work environment is optimized to reduce variability that could arise from improper ergonomic conditions. Examples of improper ergonomic conditions are poor lighting or improper work height.</w:t>
      </w:r>
    </w:p>
    <w:p w:rsidR="00E9650C" w:rsidRPr="00D6051A" w:rsidP="00837D3D" w14:paraId="55F92EE8" w14:textId="77777777">
      <w:pPr>
        <w:pStyle w:val="Heading3"/>
        <w:rPr>
          <w:i/>
          <w:iCs/>
        </w:rPr>
      </w:pPr>
      <w:r w:rsidRPr="00D6051A">
        <w:t>Third, process operators and inspector</w:t>
      </w:r>
      <w:r>
        <w:t>s</w:t>
      </w:r>
      <w:r w:rsidRPr="00D6051A">
        <w:t xml:space="preserve"> are trained and qualified, and certified to applicable standards. Example: For fuse welding, process welders are certified to an ISO standard, inspectors are certified to an ISO standard, and the welding process can also be certified to an ISO standard.</w:t>
      </w:r>
    </w:p>
    <w:p w:rsidR="00DF64E0" w:rsidRPr="00DF64E0" w:rsidP="00837D3D" w14:paraId="32E21302" w14:textId="7101A2BD">
      <w:pPr>
        <w:pStyle w:val="Heading3"/>
        <w:rPr>
          <w:i/>
          <w:iCs/>
        </w:rPr>
      </w:pPr>
      <w:r w:rsidRPr="00D6051A">
        <w:t>Equipment is qualified (IQ)</w:t>
      </w:r>
      <w:r>
        <w:t>.</w:t>
      </w:r>
    </w:p>
    <w:p w:rsidR="00E9650C" w:rsidRPr="00D6051A" w:rsidP="00837D3D" w14:paraId="53896C19" w14:textId="39A7AF6C">
      <w:pPr>
        <w:pStyle w:val="Heading3"/>
        <w:rPr>
          <w:i/>
          <w:iCs/>
        </w:rPr>
      </w:pPr>
      <w:r>
        <w:t>T</w:t>
      </w:r>
      <w:r w:rsidRPr="00D6051A">
        <w:t>est methods are validated (TMV)</w:t>
      </w:r>
      <w:r>
        <w:t>.</w:t>
      </w:r>
    </w:p>
    <w:p w:rsidR="00E9650C" w:rsidRPr="00D6051A" w:rsidP="00837D3D" w14:paraId="5A04D18C" w14:textId="22865E8D">
      <w:pPr>
        <w:pStyle w:val="Heading3"/>
        <w:rPr>
          <w:i/>
          <w:iCs/>
        </w:rPr>
      </w:pPr>
      <w:r w:rsidRPr="00D6051A">
        <w:t>Work instructions are optimized and challenged by unqualified operators to ensure the instructions are clear and fully understood.</w:t>
      </w:r>
    </w:p>
    <w:p w:rsidR="00E9650C" w:rsidRPr="00D6051A" w:rsidP="00837D3D" w14:paraId="05E7D93B" w14:textId="77777777">
      <w:pPr>
        <w:pStyle w:val="Heading3"/>
        <w:rPr>
          <w:i/>
          <w:iCs/>
        </w:rPr>
      </w:pPr>
      <w:r w:rsidRPr="00D6051A">
        <w:t>Visual acceptance criteria are established including photos of acceptable and unacceptable process outcomes or by use of “gold standard” samples.</w:t>
      </w:r>
    </w:p>
    <w:p w:rsidR="00E9650C" w:rsidRPr="00D6051A" w:rsidP="00837D3D" w14:paraId="2A855918" w14:textId="77777777">
      <w:pPr>
        <w:pStyle w:val="Heading3"/>
        <w:rPr>
          <w:i/>
          <w:iCs/>
        </w:rPr>
      </w:pPr>
      <w:r w:rsidRPr="00D6051A">
        <w:t>Various qualified operators evaluate the process output to ensure alignment and consistency between qualified operators.</w:t>
      </w:r>
    </w:p>
    <w:p w:rsidR="00E9650C" w:rsidRPr="00D6051A" w:rsidP="00837D3D" w14:paraId="58B7AB15" w14:textId="268C447F">
      <w:pPr>
        <w:pStyle w:val="Heading3"/>
        <w:rPr>
          <w:i/>
          <w:iCs/>
        </w:rPr>
      </w:pPr>
      <w:r w:rsidRPr="00D6051A">
        <w:t>A PQ study is</w:t>
      </w:r>
      <w:r>
        <w:t xml:space="preserve"> </w:t>
      </w:r>
      <w:r w:rsidR="00DF64E0">
        <w:t>typically executed</w:t>
      </w:r>
      <w:r w:rsidRPr="00D6051A">
        <w:t xml:space="preserve"> to demonstrate that the process is consistent and repeatable.</w:t>
      </w:r>
    </w:p>
    <w:p w:rsidR="00E9650C" w:rsidP="00A61F37" w14:paraId="192B3BC5" w14:textId="77777777">
      <w:pPr>
        <w:pStyle w:val="Heading1"/>
      </w:pPr>
      <w:bookmarkStart w:id="1167" w:name="_Toc188651173"/>
      <w:bookmarkStart w:id="1168" w:name="_Toc256000058"/>
      <w:r>
        <w:t>Revalidation</w:t>
      </w:r>
      <w:bookmarkEnd w:id="1168"/>
      <w:bookmarkEnd w:id="1167"/>
    </w:p>
    <w:p w:rsidR="00E9650C" w:rsidP="00E9650C" w14:paraId="4F173893" w14:textId="77777777">
      <w:r>
        <w:t>All product design and process changes must be assessed for their impact on process validation, using the process validation plan/report, to determine if revalidation is required. The review includes an impact assessment of the Design and Process FMEA, process validation plan, IQ reports, OQ reports, PQ reports, and TMV reports. If the validated state is impacted by the change, a full or partial revalidation is necessary, and revalidation rigor depends on impact. Revalidation must be executed prospectively and may be necessary under the following circumstances:</w:t>
      </w:r>
    </w:p>
    <w:p w:rsidR="00E9650C" w:rsidP="00837D3D" w14:paraId="48E24C7F" w14:textId="300FAB0C">
      <w:pPr>
        <w:pStyle w:val="Heading3"/>
      </w:pPr>
      <w:r>
        <w:t>Changes to process inputs</w:t>
      </w:r>
      <w:r w:rsidR="00DF64E0">
        <w:t>/parameters</w:t>
      </w:r>
      <w:r>
        <w:t xml:space="preserve"> are needed.</w:t>
      </w:r>
    </w:p>
    <w:p w:rsidR="00E9650C" w:rsidP="00837D3D" w14:paraId="2C9D8FF6" w14:textId="77777777">
      <w:pPr>
        <w:pStyle w:val="Heading3"/>
      </w:pPr>
      <w:r>
        <w:t>Test/Inspection methods or requirements change including moving from full verification to SPC or acceptance sampling.</w:t>
      </w:r>
    </w:p>
    <w:p w:rsidR="00E9650C" w:rsidP="00837D3D" w14:paraId="33A89274" w14:textId="77777777">
      <w:pPr>
        <w:pStyle w:val="Heading3"/>
      </w:pPr>
      <w:r>
        <w:t>Negative trends in quality indicators.</w:t>
      </w:r>
    </w:p>
    <w:p w:rsidR="00E9650C" w:rsidP="00837D3D" w14:paraId="65074DEC" w14:textId="77777777">
      <w:pPr>
        <w:pStyle w:val="Heading3"/>
      </w:pPr>
      <w:r>
        <w:t>Product design changes impact process inputs (new raw material, revised product features, revised risk profile) and/or process outputs (requirements are added or revised).</w:t>
      </w:r>
    </w:p>
    <w:p w:rsidR="00E9650C" w:rsidP="00837D3D" w14:paraId="64453225" w14:textId="77777777">
      <w:pPr>
        <w:pStyle w:val="Heading3"/>
      </w:pPr>
      <w:r>
        <w:t>Transfer of equipment/process from one location to another.</w:t>
      </w:r>
    </w:p>
    <w:p w:rsidR="00E9650C" w:rsidP="00837D3D" w14:paraId="4DA1A65C" w14:textId="77777777">
      <w:pPr>
        <w:pStyle w:val="Heading3"/>
      </w:pPr>
      <w:r>
        <w:t>Change in PFMEA severity or risk classification (when severity moves from low severity to a higher severity, example S1 moves to S2).</w:t>
      </w:r>
    </w:p>
    <w:p w:rsidR="00E9650C" w:rsidP="00837D3D" w14:paraId="4D77E6FF" w14:textId="77777777">
      <w:pPr>
        <w:pStyle w:val="Heading3"/>
      </w:pPr>
      <w:r>
        <w:t>A new CQA (CtS, CtQ, or KPI) is added to the drawing or specification sheet.</w:t>
      </w:r>
    </w:p>
    <w:p w:rsidR="00E9650C" w:rsidP="00837D3D" w14:paraId="0BE59ABC" w14:textId="77777777">
      <w:pPr>
        <w:pStyle w:val="Heading3"/>
      </w:pPr>
      <w:r>
        <w:t>Equipment is replaced.</w:t>
      </w:r>
    </w:p>
    <w:p w:rsidR="00E9650C" w:rsidP="00E9650C" w14:paraId="026DC676" w14:textId="77777777">
      <w:bookmarkStart w:id="1169" w:name="_Toc170296029"/>
      <w:bookmarkStart w:id="1170" w:name="_Toc170296550"/>
      <w:bookmarkStart w:id="1171" w:name="_Toc170311238"/>
      <w:bookmarkStart w:id="1172" w:name="_Toc170311762"/>
      <w:bookmarkStart w:id="1173" w:name="_Toc170312286"/>
      <w:bookmarkStart w:id="1174" w:name="_Toc171483697"/>
      <w:bookmarkStart w:id="1175" w:name="_Toc171503966"/>
      <w:bookmarkStart w:id="1176" w:name="_Toc171504501"/>
      <w:bookmarkEnd w:id="1169"/>
      <w:bookmarkEnd w:id="1170"/>
      <w:bookmarkEnd w:id="1171"/>
      <w:bookmarkEnd w:id="1172"/>
      <w:bookmarkEnd w:id="1173"/>
      <w:bookmarkEnd w:id="1174"/>
      <w:bookmarkEnd w:id="1175"/>
      <w:bookmarkEnd w:id="1176"/>
      <w:r>
        <w:br w:type="page"/>
      </w:r>
    </w:p>
    <w:p w:rsidR="00E9650C" w:rsidP="00A61F37" w14:paraId="48635E21" w14:textId="77777777">
      <w:pPr>
        <w:pStyle w:val="Heading1"/>
      </w:pPr>
      <w:bookmarkStart w:id="1177" w:name="_Toc171513717"/>
      <w:bookmarkStart w:id="1178" w:name="_Toc171514367"/>
      <w:bookmarkStart w:id="1179" w:name="_Toc171517020"/>
      <w:bookmarkStart w:id="1180" w:name="_Toc171517656"/>
      <w:bookmarkStart w:id="1181" w:name="_Toc170296031"/>
      <w:bookmarkStart w:id="1182" w:name="_Toc170296552"/>
      <w:bookmarkStart w:id="1183" w:name="_Toc170311240"/>
      <w:bookmarkStart w:id="1184" w:name="_Toc170311764"/>
      <w:bookmarkStart w:id="1185" w:name="_Toc170312288"/>
      <w:bookmarkStart w:id="1186" w:name="_Toc171483699"/>
      <w:bookmarkStart w:id="1187" w:name="_Toc171503967"/>
      <w:bookmarkStart w:id="1188" w:name="_Toc171504502"/>
      <w:bookmarkStart w:id="1189" w:name="_Toc171513718"/>
      <w:bookmarkStart w:id="1190" w:name="_Toc171514368"/>
      <w:bookmarkStart w:id="1191" w:name="_Toc171517021"/>
      <w:bookmarkStart w:id="1192" w:name="_Toc171517657"/>
      <w:bookmarkStart w:id="1193" w:name="_Toc170296032"/>
      <w:bookmarkStart w:id="1194" w:name="_Toc170296553"/>
      <w:bookmarkStart w:id="1195" w:name="_Toc170311241"/>
      <w:bookmarkStart w:id="1196" w:name="_Toc170311765"/>
      <w:bookmarkStart w:id="1197" w:name="_Toc170312289"/>
      <w:bookmarkStart w:id="1198" w:name="_Toc171483700"/>
      <w:bookmarkStart w:id="1199" w:name="_Toc171503968"/>
      <w:bookmarkStart w:id="1200" w:name="_Toc171504503"/>
      <w:bookmarkStart w:id="1201" w:name="_Toc171513719"/>
      <w:bookmarkStart w:id="1202" w:name="_Toc171514369"/>
      <w:bookmarkStart w:id="1203" w:name="_Toc171517022"/>
      <w:bookmarkStart w:id="1204" w:name="_Toc171517658"/>
      <w:bookmarkStart w:id="1205" w:name="_Toc170296033"/>
      <w:bookmarkStart w:id="1206" w:name="_Toc170296554"/>
      <w:bookmarkStart w:id="1207" w:name="_Toc170311242"/>
      <w:bookmarkStart w:id="1208" w:name="_Toc170311766"/>
      <w:bookmarkStart w:id="1209" w:name="_Toc170312290"/>
      <w:bookmarkStart w:id="1210" w:name="_Toc171483701"/>
      <w:bookmarkStart w:id="1211" w:name="_Toc171503969"/>
      <w:bookmarkStart w:id="1212" w:name="_Toc171504504"/>
      <w:bookmarkStart w:id="1213" w:name="_Toc171513720"/>
      <w:bookmarkStart w:id="1214" w:name="_Toc171514370"/>
      <w:bookmarkStart w:id="1215" w:name="_Toc171517023"/>
      <w:bookmarkStart w:id="1216" w:name="_Toc171517659"/>
      <w:bookmarkStart w:id="1217" w:name="_Toc170296034"/>
      <w:bookmarkStart w:id="1218" w:name="_Toc170296555"/>
      <w:bookmarkStart w:id="1219" w:name="_Toc170311243"/>
      <w:bookmarkStart w:id="1220" w:name="_Toc170311767"/>
      <w:bookmarkStart w:id="1221" w:name="_Toc170312291"/>
      <w:bookmarkStart w:id="1222" w:name="_Toc171483702"/>
      <w:bookmarkStart w:id="1223" w:name="_Toc171503970"/>
      <w:bookmarkStart w:id="1224" w:name="_Toc171504505"/>
      <w:bookmarkStart w:id="1225" w:name="_Toc171513721"/>
      <w:bookmarkStart w:id="1226" w:name="_Toc171514371"/>
      <w:bookmarkStart w:id="1227" w:name="_Toc171517024"/>
      <w:bookmarkStart w:id="1228" w:name="_Toc171517660"/>
      <w:bookmarkStart w:id="1229" w:name="_Toc170296035"/>
      <w:bookmarkStart w:id="1230" w:name="_Toc170296556"/>
      <w:bookmarkStart w:id="1231" w:name="_Toc170311244"/>
      <w:bookmarkStart w:id="1232" w:name="_Toc170311768"/>
      <w:bookmarkStart w:id="1233" w:name="_Toc170312292"/>
      <w:bookmarkStart w:id="1234" w:name="_Toc171483703"/>
      <w:bookmarkStart w:id="1235" w:name="_Toc171503971"/>
      <w:bookmarkStart w:id="1236" w:name="_Toc171504506"/>
      <w:bookmarkStart w:id="1237" w:name="_Toc171513722"/>
      <w:bookmarkStart w:id="1238" w:name="_Toc171514372"/>
      <w:bookmarkStart w:id="1239" w:name="_Toc171517025"/>
      <w:bookmarkStart w:id="1240" w:name="_Toc171517661"/>
      <w:bookmarkStart w:id="1241" w:name="_Toc170296036"/>
      <w:bookmarkStart w:id="1242" w:name="_Toc170296557"/>
      <w:bookmarkStart w:id="1243" w:name="_Toc170311245"/>
      <w:bookmarkStart w:id="1244" w:name="_Toc170311769"/>
      <w:bookmarkStart w:id="1245" w:name="_Toc170312293"/>
      <w:bookmarkStart w:id="1246" w:name="_Toc171483704"/>
      <w:bookmarkStart w:id="1247" w:name="_Toc171503972"/>
      <w:bookmarkStart w:id="1248" w:name="_Toc171504507"/>
      <w:bookmarkStart w:id="1249" w:name="_Toc171513723"/>
      <w:bookmarkStart w:id="1250" w:name="_Toc171514373"/>
      <w:bookmarkStart w:id="1251" w:name="_Toc171517026"/>
      <w:bookmarkStart w:id="1252" w:name="_Toc171517662"/>
      <w:bookmarkStart w:id="1253" w:name="_Toc170296037"/>
      <w:bookmarkStart w:id="1254" w:name="_Toc170296558"/>
      <w:bookmarkStart w:id="1255" w:name="_Toc170311246"/>
      <w:bookmarkStart w:id="1256" w:name="_Toc170311770"/>
      <w:bookmarkStart w:id="1257" w:name="_Toc170312294"/>
      <w:bookmarkStart w:id="1258" w:name="_Toc171483705"/>
      <w:bookmarkStart w:id="1259" w:name="_Toc171503973"/>
      <w:bookmarkStart w:id="1260" w:name="_Toc171504508"/>
      <w:bookmarkStart w:id="1261" w:name="_Toc171513724"/>
      <w:bookmarkStart w:id="1262" w:name="_Toc171514374"/>
      <w:bookmarkStart w:id="1263" w:name="_Toc171517027"/>
      <w:bookmarkStart w:id="1264" w:name="_Toc171517663"/>
      <w:bookmarkStart w:id="1265" w:name="_Toc170296176"/>
      <w:bookmarkStart w:id="1266" w:name="_Toc170296697"/>
      <w:bookmarkStart w:id="1267" w:name="_Toc170311387"/>
      <w:bookmarkStart w:id="1268" w:name="_Toc170311911"/>
      <w:bookmarkStart w:id="1269" w:name="_Toc170312435"/>
      <w:bookmarkStart w:id="1270" w:name="_Toc171483848"/>
      <w:bookmarkStart w:id="1271" w:name="_Toc171504116"/>
      <w:bookmarkStart w:id="1272" w:name="_Toc171504651"/>
      <w:bookmarkStart w:id="1273" w:name="_Toc171513725"/>
      <w:bookmarkStart w:id="1274" w:name="_Toc171514375"/>
      <w:bookmarkStart w:id="1275" w:name="_Toc171517028"/>
      <w:bookmarkStart w:id="1276" w:name="_Toc171517664"/>
      <w:bookmarkStart w:id="1277" w:name="_Toc170296177"/>
      <w:bookmarkStart w:id="1278" w:name="_Toc170296698"/>
      <w:bookmarkStart w:id="1279" w:name="_Toc170311388"/>
      <w:bookmarkStart w:id="1280" w:name="_Toc170311912"/>
      <w:bookmarkStart w:id="1281" w:name="_Toc170312436"/>
      <w:bookmarkStart w:id="1282" w:name="_Toc171483849"/>
      <w:bookmarkStart w:id="1283" w:name="_Toc171504117"/>
      <w:bookmarkStart w:id="1284" w:name="_Toc171504652"/>
      <w:bookmarkStart w:id="1285" w:name="_Toc171513726"/>
      <w:bookmarkStart w:id="1286" w:name="_Toc171514376"/>
      <w:bookmarkStart w:id="1287" w:name="_Toc171517029"/>
      <w:bookmarkStart w:id="1288" w:name="_Toc171517665"/>
      <w:bookmarkStart w:id="1289" w:name="_Toc170296178"/>
      <w:bookmarkStart w:id="1290" w:name="_Toc170296699"/>
      <w:bookmarkStart w:id="1291" w:name="_Toc170311389"/>
      <w:bookmarkStart w:id="1292" w:name="_Toc170311913"/>
      <w:bookmarkStart w:id="1293" w:name="_Toc170312437"/>
      <w:bookmarkStart w:id="1294" w:name="_Toc171483850"/>
      <w:bookmarkStart w:id="1295" w:name="_Toc171504118"/>
      <w:bookmarkStart w:id="1296" w:name="_Toc171504653"/>
      <w:bookmarkStart w:id="1297" w:name="_Toc171513727"/>
      <w:bookmarkStart w:id="1298" w:name="_Toc171514377"/>
      <w:bookmarkStart w:id="1299" w:name="_Toc171517030"/>
      <w:bookmarkStart w:id="1300" w:name="_Toc171517666"/>
      <w:bookmarkStart w:id="1301" w:name="_Toc170296179"/>
      <w:bookmarkStart w:id="1302" w:name="_Toc170296700"/>
      <w:bookmarkStart w:id="1303" w:name="_Toc170311390"/>
      <w:bookmarkStart w:id="1304" w:name="_Toc170311914"/>
      <w:bookmarkStart w:id="1305" w:name="_Toc170312438"/>
      <w:bookmarkStart w:id="1306" w:name="_Toc171483851"/>
      <w:bookmarkStart w:id="1307" w:name="_Toc171504119"/>
      <w:bookmarkStart w:id="1308" w:name="_Toc171504654"/>
      <w:bookmarkStart w:id="1309" w:name="_Toc171513728"/>
      <w:bookmarkStart w:id="1310" w:name="_Toc171514378"/>
      <w:bookmarkStart w:id="1311" w:name="_Toc171517031"/>
      <w:bookmarkStart w:id="1312" w:name="_Toc171517667"/>
      <w:bookmarkStart w:id="1313" w:name="_Toc170296180"/>
      <w:bookmarkStart w:id="1314" w:name="_Toc170296701"/>
      <w:bookmarkStart w:id="1315" w:name="_Toc170311391"/>
      <w:bookmarkStart w:id="1316" w:name="_Toc170311915"/>
      <w:bookmarkStart w:id="1317" w:name="_Toc170312439"/>
      <w:bookmarkStart w:id="1318" w:name="_Toc171483852"/>
      <w:bookmarkStart w:id="1319" w:name="_Toc171504120"/>
      <w:bookmarkStart w:id="1320" w:name="_Toc171504655"/>
      <w:bookmarkStart w:id="1321" w:name="_Toc171513729"/>
      <w:bookmarkStart w:id="1322" w:name="_Toc171514379"/>
      <w:bookmarkStart w:id="1323" w:name="_Toc171517032"/>
      <w:bookmarkStart w:id="1324" w:name="_Toc171517668"/>
      <w:bookmarkStart w:id="1325" w:name="_Toc170296181"/>
      <w:bookmarkStart w:id="1326" w:name="_Toc170296702"/>
      <w:bookmarkStart w:id="1327" w:name="_Toc170311392"/>
      <w:bookmarkStart w:id="1328" w:name="_Toc170311916"/>
      <w:bookmarkStart w:id="1329" w:name="_Toc170312440"/>
      <w:bookmarkStart w:id="1330" w:name="_Toc171483853"/>
      <w:bookmarkStart w:id="1331" w:name="_Toc171504121"/>
      <w:bookmarkStart w:id="1332" w:name="_Toc171504656"/>
      <w:bookmarkStart w:id="1333" w:name="_Toc171513730"/>
      <w:bookmarkStart w:id="1334" w:name="_Toc171514380"/>
      <w:bookmarkStart w:id="1335" w:name="_Toc171517033"/>
      <w:bookmarkStart w:id="1336" w:name="_Toc171517669"/>
      <w:bookmarkStart w:id="1337" w:name="_Toc170296182"/>
      <w:bookmarkStart w:id="1338" w:name="_Toc170296703"/>
      <w:bookmarkStart w:id="1339" w:name="_Toc170311393"/>
      <w:bookmarkStart w:id="1340" w:name="_Toc170311917"/>
      <w:bookmarkStart w:id="1341" w:name="_Toc170312441"/>
      <w:bookmarkStart w:id="1342" w:name="_Toc171483854"/>
      <w:bookmarkStart w:id="1343" w:name="_Toc171504122"/>
      <w:bookmarkStart w:id="1344" w:name="_Toc171504657"/>
      <w:bookmarkStart w:id="1345" w:name="_Toc171513731"/>
      <w:bookmarkStart w:id="1346" w:name="_Toc171514381"/>
      <w:bookmarkStart w:id="1347" w:name="_Toc171517034"/>
      <w:bookmarkStart w:id="1348" w:name="_Toc171517670"/>
      <w:bookmarkStart w:id="1349" w:name="_Toc170296183"/>
      <w:bookmarkStart w:id="1350" w:name="_Toc170296704"/>
      <w:bookmarkStart w:id="1351" w:name="_Toc170311394"/>
      <w:bookmarkStart w:id="1352" w:name="_Toc170311918"/>
      <w:bookmarkStart w:id="1353" w:name="_Toc170312442"/>
      <w:bookmarkStart w:id="1354" w:name="_Toc171483855"/>
      <w:bookmarkStart w:id="1355" w:name="_Toc171504123"/>
      <w:bookmarkStart w:id="1356" w:name="_Toc171504658"/>
      <w:bookmarkStart w:id="1357" w:name="_Toc171513732"/>
      <w:bookmarkStart w:id="1358" w:name="_Toc171514382"/>
      <w:bookmarkStart w:id="1359" w:name="_Toc171517035"/>
      <w:bookmarkStart w:id="1360" w:name="_Toc171517671"/>
      <w:bookmarkStart w:id="1361" w:name="_Toc170296184"/>
      <w:bookmarkStart w:id="1362" w:name="_Toc170296705"/>
      <w:bookmarkStart w:id="1363" w:name="_Toc170311395"/>
      <w:bookmarkStart w:id="1364" w:name="_Toc170311919"/>
      <w:bookmarkStart w:id="1365" w:name="_Toc170312443"/>
      <w:bookmarkStart w:id="1366" w:name="_Toc171483856"/>
      <w:bookmarkStart w:id="1367" w:name="_Toc171504124"/>
      <w:bookmarkStart w:id="1368" w:name="_Toc171504659"/>
      <w:bookmarkStart w:id="1369" w:name="_Toc171513733"/>
      <w:bookmarkStart w:id="1370" w:name="_Toc171514383"/>
      <w:bookmarkStart w:id="1371" w:name="_Toc171517036"/>
      <w:bookmarkStart w:id="1372" w:name="_Toc171517672"/>
      <w:bookmarkStart w:id="1373" w:name="_Toc170296185"/>
      <w:bookmarkStart w:id="1374" w:name="_Toc170296706"/>
      <w:bookmarkStart w:id="1375" w:name="_Toc170311396"/>
      <w:bookmarkStart w:id="1376" w:name="_Toc170311920"/>
      <w:bookmarkStart w:id="1377" w:name="_Toc170312444"/>
      <w:bookmarkStart w:id="1378" w:name="_Toc171483857"/>
      <w:bookmarkStart w:id="1379" w:name="_Toc171504125"/>
      <w:bookmarkStart w:id="1380" w:name="_Toc171504660"/>
      <w:bookmarkStart w:id="1381" w:name="_Toc171513734"/>
      <w:bookmarkStart w:id="1382" w:name="_Toc171514384"/>
      <w:bookmarkStart w:id="1383" w:name="_Toc171517037"/>
      <w:bookmarkStart w:id="1384" w:name="_Toc171517673"/>
      <w:bookmarkStart w:id="1385" w:name="_Toc170296186"/>
      <w:bookmarkStart w:id="1386" w:name="_Toc170296707"/>
      <w:bookmarkStart w:id="1387" w:name="_Toc170311397"/>
      <w:bookmarkStart w:id="1388" w:name="_Toc170311921"/>
      <w:bookmarkStart w:id="1389" w:name="_Toc170312445"/>
      <w:bookmarkStart w:id="1390" w:name="_Toc171483858"/>
      <w:bookmarkStart w:id="1391" w:name="_Toc171504126"/>
      <w:bookmarkStart w:id="1392" w:name="_Toc171504661"/>
      <w:bookmarkStart w:id="1393" w:name="_Toc171513735"/>
      <w:bookmarkStart w:id="1394" w:name="_Toc171514385"/>
      <w:bookmarkStart w:id="1395" w:name="_Toc171517038"/>
      <w:bookmarkStart w:id="1396" w:name="_Toc171517674"/>
      <w:bookmarkStart w:id="1397" w:name="_Toc170296187"/>
      <w:bookmarkStart w:id="1398" w:name="_Toc170296708"/>
      <w:bookmarkStart w:id="1399" w:name="_Toc170311398"/>
      <w:bookmarkStart w:id="1400" w:name="_Toc170311922"/>
      <w:bookmarkStart w:id="1401" w:name="_Toc170312446"/>
      <w:bookmarkStart w:id="1402" w:name="_Toc171483859"/>
      <w:bookmarkStart w:id="1403" w:name="_Toc171504127"/>
      <w:bookmarkStart w:id="1404" w:name="_Toc171504662"/>
      <w:bookmarkStart w:id="1405" w:name="_Toc171513736"/>
      <w:bookmarkStart w:id="1406" w:name="_Toc171514386"/>
      <w:bookmarkStart w:id="1407" w:name="_Toc171517039"/>
      <w:bookmarkStart w:id="1408" w:name="_Toc171517675"/>
      <w:bookmarkStart w:id="1409" w:name="_Toc170296188"/>
      <w:bookmarkStart w:id="1410" w:name="_Toc170296709"/>
      <w:bookmarkStart w:id="1411" w:name="_Toc170311399"/>
      <w:bookmarkStart w:id="1412" w:name="_Toc170311923"/>
      <w:bookmarkStart w:id="1413" w:name="_Toc170312447"/>
      <w:bookmarkStart w:id="1414" w:name="_Toc171483860"/>
      <w:bookmarkStart w:id="1415" w:name="_Toc171504128"/>
      <w:bookmarkStart w:id="1416" w:name="_Toc171504663"/>
      <w:bookmarkStart w:id="1417" w:name="_Toc171513737"/>
      <w:bookmarkStart w:id="1418" w:name="_Toc171514387"/>
      <w:bookmarkStart w:id="1419" w:name="_Toc171517040"/>
      <w:bookmarkStart w:id="1420" w:name="_Toc171517676"/>
      <w:bookmarkStart w:id="1421" w:name="_Toc170296189"/>
      <w:bookmarkStart w:id="1422" w:name="_Toc170296710"/>
      <w:bookmarkStart w:id="1423" w:name="_Toc170311400"/>
      <w:bookmarkStart w:id="1424" w:name="_Toc170311924"/>
      <w:bookmarkStart w:id="1425" w:name="_Toc170312448"/>
      <w:bookmarkStart w:id="1426" w:name="_Toc171483861"/>
      <w:bookmarkStart w:id="1427" w:name="_Toc171504129"/>
      <w:bookmarkStart w:id="1428" w:name="_Toc171504664"/>
      <w:bookmarkStart w:id="1429" w:name="_Toc171513738"/>
      <w:bookmarkStart w:id="1430" w:name="_Toc171514388"/>
      <w:bookmarkStart w:id="1431" w:name="_Toc171517041"/>
      <w:bookmarkStart w:id="1432" w:name="_Toc171517677"/>
      <w:bookmarkStart w:id="1433" w:name="_Toc170296190"/>
      <w:bookmarkStart w:id="1434" w:name="_Toc170296711"/>
      <w:bookmarkStart w:id="1435" w:name="_Toc170311401"/>
      <w:bookmarkStart w:id="1436" w:name="_Toc170311925"/>
      <w:bookmarkStart w:id="1437" w:name="_Toc170312449"/>
      <w:bookmarkStart w:id="1438" w:name="_Toc171483862"/>
      <w:bookmarkStart w:id="1439" w:name="_Toc171504130"/>
      <w:bookmarkStart w:id="1440" w:name="_Toc171504665"/>
      <w:bookmarkStart w:id="1441" w:name="_Toc171513739"/>
      <w:bookmarkStart w:id="1442" w:name="_Toc171514389"/>
      <w:bookmarkStart w:id="1443" w:name="_Toc171517042"/>
      <w:bookmarkStart w:id="1444" w:name="_Toc171517678"/>
      <w:bookmarkStart w:id="1445" w:name="_Toc170296191"/>
      <w:bookmarkStart w:id="1446" w:name="_Toc170296712"/>
      <w:bookmarkStart w:id="1447" w:name="_Toc170311402"/>
      <w:bookmarkStart w:id="1448" w:name="_Toc170311926"/>
      <w:bookmarkStart w:id="1449" w:name="_Toc170312450"/>
      <w:bookmarkStart w:id="1450" w:name="_Toc171483863"/>
      <w:bookmarkStart w:id="1451" w:name="_Toc171504131"/>
      <w:bookmarkStart w:id="1452" w:name="_Toc171504666"/>
      <w:bookmarkStart w:id="1453" w:name="_Toc171513740"/>
      <w:bookmarkStart w:id="1454" w:name="_Toc171514390"/>
      <w:bookmarkStart w:id="1455" w:name="_Toc171517043"/>
      <w:bookmarkStart w:id="1456" w:name="_Toc171517679"/>
      <w:bookmarkStart w:id="1457" w:name="_Toc170296192"/>
      <w:bookmarkStart w:id="1458" w:name="_Toc170296713"/>
      <w:bookmarkStart w:id="1459" w:name="_Toc170311403"/>
      <w:bookmarkStart w:id="1460" w:name="_Toc170311927"/>
      <w:bookmarkStart w:id="1461" w:name="_Toc170312451"/>
      <w:bookmarkStart w:id="1462" w:name="_Toc171483864"/>
      <w:bookmarkStart w:id="1463" w:name="_Toc171504132"/>
      <w:bookmarkStart w:id="1464" w:name="_Toc171504667"/>
      <w:bookmarkStart w:id="1465" w:name="_Toc171513741"/>
      <w:bookmarkStart w:id="1466" w:name="_Toc171514391"/>
      <w:bookmarkStart w:id="1467" w:name="_Toc171517044"/>
      <w:bookmarkStart w:id="1468" w:name="_Toc171517680"/>
      <w:bookmarkStart w:id="1469" w:name="_Toc170296193"/>
      <w:bookmarkStart w:id="1470" w:name="_Toc170296714"/>
      <w:bookmarkStart w:id="1471" w:name="_Toc170311404"/>
      <w:bookmarkStart w:id="1472" w:name="_Toc170311928"/>
      <w:bookmarkStart w:id="1473" w:name="_Toc170312452"/>
      <w:bookmarkStart w:id="1474" w:name="_Toc171483865"/>
      <w:bookmarkStart w:id="1475" w:name="_Toc171504133"/>
      <w:bookmarkStart w:id="1476" w:name="_Toc171504668"/>
      <w:bookmarkStart w:id="1477" w:name="_Toc171513742"/>
      <w:bookmarkStart w:id="1478" w:name="_Toc171514392"/>
      <w:bookmarkStart w:id="1479" w:name="_Toc171517045"/>
      <w:bookmarkStart w:id="1480" w:name="_Toc171517681"/>
      <w:bookmarkStart w:id="1481" w:name="_Toc170296194"/>
      <w:bookmarkStart w:id="1482" w:name="_Toc170296715"/>
      <w:bookmarkStart w:id="1483" w:name="_Toc170311405"/>
      <w:bookmarkStart w:id="1484" w:name="_Toc170311929"/>
      <w:bookmarkStart w:id="1485" w:name="_Toc170312453"/>
      <w:bookmarkStart w:id="1486" w:name="_Toc171483866"/>
      <w:bookmarkStart w:id="1487" w:name="_Toc171504134"/>
      <w:bookmarkStart w:id="1488" w:name="_Toc171504669"/>
      <w:bookmarkStart w:id="1489" w:name="_Toc171513743"/>
      <w:bookmarkStart w:id="1490" w:name="_Toc171514393"/>
      <w:bookmarkStart w:id="1491" w:name="_Toc171517046"/>
      <w:bookmarkStart w:id="1492" w:name="_Toc171517682"/>
      <w:bookmarkStart w:id="1493" w:name="_Toc170296195"/>
      <w:bookmarkStart w:id="1494" w:name="_Toc170296716"/>
      <w:bookmarkStart w:id="1495" w:name="_Toc170311406"/>
      <w:bookmarkStart w:id="1496" w:name="_Toc170311930"/>
      <w:bookmarkStart w:id="1497" w:name="_Toc170312454"/>
      <w:bookmarkStart w:id="1498" w:name="_Toc171483867"/>
      <w:bookmarkStart w:id="1499" w:name="_Toc171504135"/>
      <w:bookmarkStart w:id="1500" w:name="_Toc171504670"/>
      <w:bookmarkStart w:id="1501" w:name="_Toc171513744"/>
      <w:bookmarkStart w:id="1502" w:name="_Toc171514394"/>
      <w:bookmarkStart w:id="1503" w:name="_Toc171517047"/>
      <w:bookmarkStart w:id="1504" w:name="_Toc171517683"/>
      <w:bookmarkStart w:id="1505" w:name="_Toc170296196"/>
      <w:bookmarkStart w:id="1506" w:name="_Toc170296717"/>
      <w:bookmarkStart w:id="1507" w:name="_Toc170311407"/>
      <w:bookmarkStart w:id="1508" w:name="_Toc170311931"/>
      <w:bookmarkStart w:id="1509" w:name="_Toc170312455"/>
      <w:bookmarkStart w:id="1510" w:name="_Toc171483868"/>
      <w:bookmarkStart w:id="1511" w:name="_Toc171504136"/>
      <w:bookmarkStart w:id="1512" w:name="_Toc171504671"/>
      <w:bookmarkStart w:id="1513" w:name="_Toc171513745"/>
      <w:bookmarkStart w:id="1514" w:name="_Toc171514395"/>
      <w:bookmarkStart w:id="1515" w:name="_Toc171517048"/>
      <w:bookmarkStart w:id="1516" w:name="_Toc171517684"/>
      <w:bookmarkStart w:id="1517" w:name="_Toc170296197"/>
      <w:bookmarkStart w:id="1518" w:name="_Toc170296718"/>
      <w:bookmarkStart w:id="1519" w:name="_Toc170311408"/>
      <w:bookmarkStart w:id="1520" w:name="_Toc170311932"/>
      <w:bookmarkStart w:id="1521" w:name="_Toc170312456"/>
      <w:bookmarkStart w:id="1522" w:name="_Toc171483869"/>
      <w:bookmarkStart w:id="1523" w:name="_Toc171504137"/>
      <w:bookmarkStart w:id="1524" w:name="_Toc171504672"/>
      <w:bookmarkStart w:id="1525" w:name="_Toc171513746"/>
      <w:bookmarkStart w:id="1526" w:name="_Toc171514396"/>
      <w:bookmarkStart w:id="1527" w:name="_Toc171517049"/>
      <w:bookmarkStart w:id="1528" w:name="_Toc171517685"/>
      <w:bookmarkStart w:id="1529" w:name="_Toc170296198"/>
      <w:bookmarkStart w:id="1530" w:name="_Toc170296719"/>
      <w:bookmarkStart w:id="1531" w:name="_Toc170311409"/>
      <w:bookmarkStart w:id="1532" w:name="_Toc170311933"/>
      <w:bookmarkStart w:id="1533" w:name="_Toc170312457"/>
      <w:bookmarkStart w:id="1534" w:name="_Toc171483870"/>
      <w:bookmarkStart w:id="1535" w:name="_Toc171504138"/>
      <w:bookmarkStart w:id="1536" w:name="_Toc171504673"/>
      <w:bookmarkStart w:id="1537" w:name="_Toc171513747"/>
      <w:bookmarkStart w:id="1538" w:name="_Toc171514397"/>
      <w:bookmarkStart w:id="1539" w:name="_Toc171517050"/>
      <w:bookmarkStart w:id="1540" w:name="_Toc171517686"/>
      <w:bookmarkStart w:id="1541" w:name="_Toc170296199"/>
      <w:bookmarkStart w:id="1542" w:name="_Toc170296720"/>
      <w:bookmarkStart w:id="1543" w:name="_Toc170311410"/>
      <w:bookmarkStart w:id="1544" w:name="_Toc170311934"/>
      <w:bookmarkStart w:id="1545" w:name="_Toc170312458"/>
      <w:bookmarkStart w:id="1546" w:name="_Toc171483871"/>
      <w:bookmarkStart w:id="1547" w:name="_Toc171504139"/>
      <w:bookmarkStart w:id="1548" w:name="_Toc171504674"/>
      <w:bookmarkStart w:id="1549" w:name="_Toc171513748"/>
      <w:bookmarkStart w:id="1550" w:name="_Toc171514398"/>
      <w:bookmarkStart w:id="1551" w:name="_Toc171517051"/>
      <w:bookmarkStart w:id="1552" w:name="_Toc171517687"/>
      <w:bookmarkStart w:id="1553" w:name="_Toc170296200"/>
      <w:bookmarkStart w:id="1554" w:name="_Toc170296721"/>
      <w:bookmarkStart w:id="1555" w:name="_Toc170311411"/>
      <w:bookmarkStart w:id="1556" w:name="_Toc170311935"/>
      <w:bookmarkStart w:id="1557" w:name="_Toc170312459"/>
      <w:bookmarkStart w:id="1558" w:name="_Toc171483872"/>
      <w:bookmarkStart w:id="1559" w:name="_Toc171504140"/>
      <w:bookmarkStart w:id="1560" w:name="_Toc171504675"/>
      <w:bookmarkStart w:id="1561" w:name="_Toc171513749"/>
      <w:bookmarkStart w:id="1562" w:name="_Toc171514399"/>
      <w:bookmarkStart w:id="1563" w:name="_Toc171517052"/>
      <w:bookmarkStart w:id="1564" w:name="_Toc171517688"/>
      <w:bookmarkStart w:id="1565" w:name="_Toc170296201"/>
      <w:bookmarkStart w:id="1566" w:name="_Toc170296722"/>
      <w:bookmarkStart w:id="1567" w:name="_Toc170311412"/>
      <w:bookmarkStart w:id="1568" w:name="_Toc170311936"/>
      <w:bookmarkStart w:id="1569" w:name="_Toc170312460"/>
      <w:bookmarkStart w:id="1570" w:name="_Toc171483873"/>
      <w:bookmarkStart w:id="1571" w:name="_Toc171504141"/>
      <w:bookmarkStart w:id="1572" w:name="_Toc171504676"/>
      <w:bookmarkStart w:id="1573" w:name="_Toc171513750"/>
      <w:bookmarkStart w:id="1574" w:name="_Toc171514400"/>
      <w:bookmarkStart w:id="1575" w:name="_Toc171517053"/>
      <w:bookmarkStart w:id="1576" w:name="_Toc171517689"/>
      <w:bookmarkStart w:id="1577" w:name="_Toc170296226"/>
      <w:bookmarkStart w:id="1578" w:name="_Toc170296747"/>
      <w:bookmarkStart w:id="1579" w:name="_Toc170311437"/>
      <w:bookmarkStart w:id="1580" w:name="_Toc170311961"/>
      <w:bookmarkStart w:id="1581" w:name="_Toc170312485"/>
      <w:bookmarkStart w:id="1582" w:name="_Toc171483898"/>
      <w:bookmarkStart w:id="1583" w:name="_Toc171504166"/>
      <w:bookmarkStart w:id="1584" w:name="_Toc171504701"/>
      <w:bookmarkStart w:id="1585" w:name="_Toc171513775"/>
      <w:bookmarkStart w:id="1586" w:name="_Toc171514425"/>
      <w:bookmarkStart w:id="1587" w:name="_Toc171517078"/>
      <w:bookmarkStart w:id="1588" w:name="_Toc171517714"/>
      <w:bookmarkStart w:id="1589" w:name="_Toc170296251"/>
      <w:bookmarkStart w:id="1590" w:name="_Toc170296772"/>
      <w:bookmarkStart w:id="1591" w:name="_Toc170311462"/>
      <w:bookmarkStart w:id="1592" w:name="_Toc170311986"/>
      <w:bookmarkStart w:id="1593" w:name="_Toc170312510"/>
      <w:bookmarkStart w:id="1594" w:name="_Toc171483923"/>
      <w:bookmarkStart w:id="1595" w:name="_Toc171504191"/>
      <w:bookmarkStart w:id="1596" w:name="_Toc171504726"/>
      <w:bookmarkStart w:id="1597" w:name="_Toc171513800"/>
      <w:bookmarkStart w:id="1598" w:name="_Toc171514450"/>
      <w:bookmarkStart w:id="1599" w:name="_Toc171517103"/>
      <w:bookmarkStart w:id="1600" w:name="_Toc171517739"/>
      <w:bookmarkStart w:id="1601" w:name="_Toc170296252"/>
      <w:bookmarkStart w:id="1602" w:name="_Toc170296773"/>
      <w:bookmarkStart w:id="1603" w:name="_Toc170311463"/>
      <w:bookmarkStart w:id="1604" w:name="_Toc170311987"/>
      <w:bookmarkStart w:id="1605" w:name="_Toc170312511"/>
      <w:bookmarkStart w:id="1606" w:name="_Toc171483924"/>
      <w:bookmarkStart w:id="1607" w:name="_Toc171504192"/>
      <w:bookmarkStart w:id="1608" w:name="_Toc171504727"/>
      <w:bookmarkStart w:id="1609" w:name="_Toc171513801"/>
      <w:bookmarkStart w:id="1610" w:name="_Toc171514451"/>
      <w:bookmarkStart w:id="1611" w:name="_Toc171517104"/>
      <w:bookmarkStart w:id="1612" w:name="_Toc171517740"/>
      <w:bookmarkStart w:id="1613" w:name="_Toc170312008"/>
      <w:bookmarkStart w:id="1614" w:name="_Toc170312532"/>
      <w:bookmarkStart w:id="1615" w:name="_Toc171483945"/>
      <w:bookmarkStart w:id="1616" w:name="_Toc171504213"/>
      <w:bookmarkStart w:id="1617" w:name="_Toc171504748"/>
      <w:bookmarkStart w:id="1618" w:name="_Toc171513822"/>
      <w:bookmarkStart w:id="1619" w:name="_Toc171514472"/>
      <w:bookmarkStart w:id="1620" w:name="_Toc171517125"/>
      <w:bookmarkStart w:id="1621" w:name="_Toc171517761"/>
      <w:bookmarkStart w:id="1622" w:name="_Toc188651174"/>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Start w:id="1623" w:name="_Toc256000059"/>
      <w:r>
        <w:t>Decision Flow Chart</w:t>
      </w:r>
      <w:bookmarkEnd w:id="1623"/>
      <w:bookmarkEnd w:id="1622"/>
    </w:p>
    <w:p w:rsidR="0054442E" w:rsidP="0054442E" w14:paraId="0139CC3D" w14:textId="77777777">
      <w:r>
        <w:t>The following flow chart may be used to determine the validation approach for individual product characteristics. Note that IQ is required for all manufacturing and test equipment used in the manufacture of medical devices.</w:t>
      </w:r>
    </w:p>
    <w:p w:rsidR="00CF3540" w:rsidP="0054442E" w14:paraId="4C9D33CA" w14:textId="77777777"/>
    <w:p w:rsidR="00FB2312" w:rsidP="00FB2312" w14:paraId="2836C347" w14:textId="74963AFF">
      <w:pPr>
        <w:keepNext/>
        <w:ind w:left="-90"/>
      </w:pPr>
      <w:r w:rsidRPr="00B76713">
        <w:rPr>
          <w:noProof/>
        </w:rPr>
        <w:t xml:space="preserve">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3.6pt;height:332.78pt" o:ole="">
            <v:imagedata r:id="rId27" o:title=""/>
          </v:shape>
          <o:OLEObject Type="Embed" ProgID="Visio.Drawing.15" ShapeID="_x0000_i1027" DrawAspect="Content" ObjectID="_1803194691" r:id="rId28"/>
        </w:object>
      </w:r>
    </w:p>
    <w:p w:rsidR="0054442E" w:rsidP="00FB2312" w14:paraId="215CF357" w14:textId="03669678">
      <w:pPr>
        <w:pStyle w:val="Caption"/>
      </w:pPr>
      <w:r>
        <w:t>Figure 16: Validation Flow Chart</w:t>
      </w:r>
    </w:p>
    <w:p w:rsidR="0054442E" w:rsidP="0054442E" w14:paraId="05F00669" w14:textId="77777777">
      <w:pPr>
        <w:spacing w:after="60"/>
        <w:rPr>
          <w:sz w:val="20"/>
          <w:szCs w:val="18"/>
        </w:rPr>
      </w:pPr>
      <w:r w:rsidRPr="00E91D21">
        <w:rPr>
          <w:sz w:val="20"/>
          <w:szCs w:val="18"/>
        </w:rPr>
        <w:t>*</w:t>
      </w:r>
      <w:r>
        <w:rPr>
          <w:sz w:val="20"/>
          <w:szCs w:val="18"/>
        </w:rPr>
        <w:t>Special</w:t>
      </w:r>
      <w:r w:rsidRPr="00E91D21">
        <w:rPr>
          <w:sz w:val="20"/>
          <w:szCs w:val="18"/>
        </w:rPr>
        <w:t xml:space="preserve"> processes must be validated </w:t>
      </w:r>
      <w:r>
        <w:rPr>
          <w:sz w:val="20"/>
          <w:szCs w:val="18"/>
        </w:rPr>
        <w:t xml:space="preserve">even if there is no CQA </w:t>
      </w:r>
      <w:r w:rsidRPr="00E91D21">
        <w:rPr>
          <w:sz w:val="20"/>
          <w:szCs w:val="18"/>
        </w:rPr>
        <w:t xml:space="preserve">unless there is a sufficient </w:t>
      </w:r>
      <w:r>
        <w:rPr>
          <w:sz w:val="20"/>
          <w:szCs w:val="18"/>
        </w:rPr>
        <w:t xml:space="preserve">and approved </w:t>
      </w:r>
      <w:r w:rsidRPr="00E91D21">
        <w:rPr>
          <w:sz w:val="20"/>
          <w:szCs w:val="18"/>
        </w:rPr>
        <w:t>rationale for why process validation is not required.</w:t>
      </w:r>
    </w:p>
    <w:p w:rsidR="0054442E" w:rsidRPr="00E91D21" w:rsidP="0054442E" w14:paraId="643292CB" w14:textId="77777777">
      <w:pPr>
        <w:rPr>
          <w:sz w:val="20"/>
          <w:szCs w:val="18"/>
        </w:rPr>
      </w:pPr>
      <w:r>
        <w:rPr>
          <w:sz w:val="20"/>
          <w:szCs w:val="18"/>
        </w:rPr>
        <w:t>**Product characteristics that are no CQAs should always be qualified prospectively to avoid unnecessary inspections in manufacturing. Measurements do not require a TMV but a measurement tool with Accuracy to Tolerance of 25% or less must be used.</w:t>
      </w:r>
    </w:p>
    <w:p w:rsidR="0054442E" w:rsidP="0054442E" w14:paraId="55D2EC79" w14:textId="77777777">
      <w:pPr>
        <w:pStyle w:val="ListParagraph"/>
        <w:numPr>
          <w:ilvl w:val="0"/>
          <w:numId w:val="0"/>
        </w:numPr>
        <w:ind w:left="360"/>
      </w:pPr>
    </w:p>
    <w:p w:rsidR="0054442E" w:rsidP="0054442E" w14:paraId="17C6D27A" w14:textId="77777777">
      <w:pPr>
        <w:pStyle w:val="ListParagraph"/>
        <w:ind w:left="360"/>
      </w:pPr>
      <w:r>
        <w:br w:type="page"/>
      </w:r>
    </w:p>
    <w:p w:rsidR="0054442E" w:rsidP="00A61F37" w14:paraId="418547BF" w14:textId="77777777">
      <w:pPr>
        <w:pStyle w:val="Heading1"/>
      </w:pPr>
      <w:bookmarkStart w:id="1624" w:name="_Toc188651175"/>
      <w:bookmarkStart w:id="1625" w:name="_Toc256000060"/>
      <w:r>
        <w:t>References</w:t>
      </w:r>
      <w:bookmarkEnd w:id="1625"/>
      <w:bookmarkEnd w:id="1624"/>
    </w:p>
    <w:tbl>
      <w:tblPr>
        <w:tblStyle w:val="TableGrid"/>
        <w:tblW w:w="0" w:type="auto"/>
        <w:tblInd w:w="-5" w:type="dxa"/>
        <w:tblBorders>
          <w:insideH w:val="single" w:sz="6" w:space="0" w:color="auto"/>
          <w:insideV w:val="single" w:sz="6" w:space="0" w:color="auto"/>
        </w:tblBorders>
        <w:tblLook w:val="04A0"/>
      </w:tblPr>
      <w:tblGrid>
        <w:gridCol w:w="754"/>
        <w:gridCol w:w="7902"/>
      </w:tblGrid>
      <w:tr w14:paraId="29331DDC" w14:textId="77777777" w:rsidTr="005C08EE">
        <w:tblPrEx>
          <w:tblW w:w="0" w:type="auto"/>
          <w:tblInd w:w="-5" w:type="dxa"/>
          <w:tblLook w:val="04A0"/>
        </w:tblPrEx>
        <w:tc>
          <w:tcPr>
            <w:tcW w:w="754" w:type="dxa"/>
          </w:tcPr>
          <w:p w:rsidR="0054442E" w:rsidRPr="000853FA" w:rsidP="005C08EE" w14:paraId="311E316C" w14:textId="77777777">
            <w:pPr>
              <w:rPr>
                <w:rFonts w:cstheme="minorHAnsi"/>
                <w:szCs w:val="22"/>
              </w:rPr>
            </w:pPr>
            <w:r w:rsidRPr="000853FA">
              <w:rPr>
                <w:rFonts w:cstheme="minorHAnsi"/>
                <w:szCs w:val="22"/>
              </w:rPr>
              <w:t>Ref-1</w:t>
            </w:r>
          </w:p>
        </w:tc>
        <w:tc>
          <w:tcPr>
            <w:tcW w:w="7902" w:type="dxa"/>
          </w:tcPr>
          <w:p w:rsidR="0054442E" w:rsidRPr="000853FA" w:rsidP="005C08EE" w14:paraId="6E5AB733" w14:textId="77777777">
            <w:pPr>
              <w:rPr>
                <w:rFonts w:cstheme="minorHAnsi"/>
                <w:szCs w:val="22"/>
              </w:rPr>
            </w:pPr>
            <w:r w:rsidRPr="000853FA">
              <w:rPr>
                <w:rFonts w:cstheme="minorHAnsi"/>
                <w:szCs w:val="22"/>
              </w:rPr>
              <w:t xml:space="preserve">GHTF/SG3/N99-10:2004 (Edition 2) Quality Management Systems - Process Validation Guidance </w:t>
            </w:r>
            <w:hyperlink r:id="rId29" w:history="1">
              <w:r w:rsidRPr="009C4B60">
                <w:rPr>
                  <w:rStyle w:val="Hyperlink"/>
                  <w:rFonts w:cstheme="minorHAnsi"/>
                  <w:color w:val="3366FF"/>
                  <w:szCs w:val="22"/>
                </w:rPr>
                <w:t>https://www.imdrf.org/sites/default/files/docs/ghtf/final/sg3/technical-docs/ghtf-sg3-n99-10-2004-qms-process-guidance-04010.pdf</w:t>
              </w:r>
            </w:hyperlink>
          </w:p>
        </w:tc>
      </w:tr>
      <w:tr w14:paraId="0A30F0F8" w14:textId="77777777" w:rsidTr="005C08EE">
        <w:tblPrEx>
          <w:tblW w:w="0" w:type="auto"/>
          <w:tblInd w:w="-5" w:type="dxa"/>
          <w:tblLook w:val="04A0"/>
        </w:tblPrEx>
        <w:tc>
          <w:tcPr>
            <w:tcW w:w="754" w:type="dxa"/>
          </w:tcPr>
          <w:p w:rsidR="0054442E" w:rsidRPr="000853FA" w:rsidP="005C08EE" w14:paraId="290D3DFD" w14:textId="77777777">
            <w:pPr>
              <w:rPr>
                <w:rFonts w:cstheme="minorHAnsi"/>
                <w:szCs w:val="22"/>
              </w:rPr>
            </w:pPr>
            <w:r w:rsidRPr="000853FA">
              <w:rPr>
                <w:rFonts w:cstheme="minorHAnsi"/>
                <w:szCs w:val="22"/>
              </w:rPr>
              <w:t>Ref-2</w:t>
            </w:r>
          </w:p>
        </w:tc>
        <w:tc>
          <w:tcPr>
            <w:tcW w:w="7902" w:type="dxa"/>
          </w:tcPr>
          <w:p w:rsidR="0054442E" w:rsidRPr="000853FA" w:rsidP="005C08EE" w14:paraId="7C0FEE2B" w14:textId="77777777">
            <w:pPr>
              <w:rPr>
                <w:rFonts w:cstheme="minorHAnsi"/>
                <w:szCs w:val="22"/>
              </w:rPr>
            </w:pPr>
            <w:r w:rsidRPr="000853FA">
              <w:rPr>
                <w:rFonts w:cstheme="minorHAnsi"/>
                <w:szCs w:val="22"/>
              </w:rPr>
              <w:t xml:space="preserve">Taylor, Wayne (2017), </w:t>
            </w:r>
            <w:r w:rsidRPr="000853FA">
              <w:rPr>
                <w:rFonts w:cstheme="minorHAnsi"/>
                <w:i/>
                <w:iCs/>
                <w:szCs w:val="22"/>
              </w:rPr>
              <w:t xml:space="preserve">Statistical Procedures for the Medical Device Industry. </w:t>
            </w:r>
            <w:r w:rsidRPr="000853FA">
              <w:rPr>
                <w:rFonts w:cstheme="minorHAnsi"/>
                <w:szCs w:val="22"/>
              </w:rPr>
              <w:t>Taylor Enterprises, Inc.</w:t>
            </w:r>
            <w:r w:rsidRPr="009C4B60">
              <w:rPr>
                <w:rFonts w:cstheme="minorHAnsi"/>
                <w:color w:val="3366FF"/>
                <w:szCs w:val="22"/>
              </w:rPr>
              <w:t xml:space="preserve"> </w:t>
            </w:r>
            <w:hyperlink r:id="rId30" w:history="1">
              <w:r w:rsidRPr="009C4B60">
                <w:rPr>
                  <w:rStyle w:val="Hyperlink"/>
                  <w:rFonts w:cstheme="minorHAnsi"/>
                  <w:color w:val="3366FF"/>
                  <w:szCs w:val="22"/>
                </w:rPr>
                <w:t>www.variation.com</w:t>
              </w:r>
            </w:hyperlink>
          </w:p>
        </w:tc>
      </w:tr>
      <w:tr w14:paraId="35CC3D5A" w14:textId="77777777" w:rsidTr="005C08EE">
        <w:tblPrEx>
          <w:tblW w:w="0" w:type="auto"/>
          <w:tblInd w:w="-5" w:type="dxa"/>
          <w:tblLook w:val="04A0"/>
        </w:tblPrEx>
        <w:tc>
          <w:tcPr>
            <w:tcW w:w="754" w:type="dxa"/>
          </w:tcPr>
          <w:p w:rsidR="0054442E" w:rsidRPr="000853FA" w:rsidP="005C08EE" w14:paraId="12990BA0" w14:textId="77777777">
            <w:pPr>
              <w:rPr>
                <w:rFonts w:cstheme="minorHAnsi"/>
                <w:szCs w:val="22"/>
              </w:rPr>
            </w:pPr>
            <w:r w:rsidRPr="000853FA">
              <w:rPr>
                <w:rFonts w:cstheme="minorHAnsi"/>
                <w:szCs w:val="22"/>
              </w:rPr>
              <w:t>Ref-3</w:t>
            </w:r>
          </w:p>
        </w:tc>
        <w:tc>
          <w:tcPr>
            <w:tcW w:w="7902" w:type="dxa"/>
          </w:tcPr>
          <w:p w:rsidR="0054442E" w:rsidRPr="000853FA" w:rsidP="005C08EE" w14:paraId="145FAF14" w14:textId="77777777">
            <w:pPr>
              <w:rPr>
                <w:rFonts w:cstheme="minorHAnsi"/>
                <w:szCs w:val="22"/>
              </w:rPr>
            </w:pPr>
            <w:r w:rsidRPr="000853FA">
              <w:rPr>
                <w:rFonts w:cstheme="minorHAnsi"/>
                <w:szCs w:val="22"/>
              </w:rPr>
              <w:t xml:space="preserve">MDSAP AU.P0002.008, 2023-04-01 </w:t>
            </w:r>
            <w:hyperlink r:id="rId31" w:history="1">
              <w:r w:rsidRPr="00306791">
                <w:rPr>
                  <w:rStyle w:val="Hyperlink"/>
                  <w:rFonts w:cstheme="minorHAnsi"/>
                  <w:color w:val="3366FF"/>
                  <w:szCs w:val="22"/>
                </w:rPr>
                <w:t>https://www.fda.gov/media/166672/download?attachment</w:t>
              </w:r>
            </w:hyperlink>
          </w:p>
        </w:tc>
      </w:tr>
      <w:tr w14:paraId="6BDDF1AC" w14:textId="77777777" w:rsidTr="005C08EE">
        <w:tblPrEx>
          <w:tblW w:w="0" w:type="auto"/>
          <w:tblInd w:w="-5" w:type="dxa"/>
          <w:tblLook w:val="04A0"/>
        </w:tblPrEx>
        <w:tc>
          <w:tcPr>
            <w:tcW w:w="754" w:type="dxa"/>
          </w:tcPr>
          <w:p w:rsidR="0054442E" w:rsidRPr="000853FA" w:rsidP="005C08EE" w14:paraId="775A6A2D" w14:textId="77777777">
            <w:pPr>
              <w:rPr>
                <w:rFonts w:cstheme="minorHAnsi"/>
                <w:szCs w:val="22"/>
              </w:rPr>
            </w:pPr>
            <w:r w:rsidRPr="000853FA">
              <w:rPr>
                <w:rFonts w:cstheme="minorHAnsi"/>
                <w:szCs w:val="22"/>
              </w:rPr>
              <w:t>Ref-4</w:t>
            </w:r>
          </w:p>
        </w:tc>
        <w:tc>
          <w:tcPr>
            <w:tcW w:w="7902" w:type="dxa"/>
          </w:tcPr>
          <w:p w:rsidR="0054442E" w:rsidRPr="000853FA" w:rsidP="005C08EE" w14:paraId="62A8414C" w14:textId="77777777">
            <w:pPr>
              <w:rPr>
                <w:rFonts w:cstheme="minorHAnsi"/>
                <w:szCs w:val="22"/>
              </w:rPr>
            </w:pPr>
            <w:r w:rsidRPr="000853FA">
              <w:rPr>
                <w:rFonts w:cstheme="minorHAnsi"/>
                <w:szCs w:val="22"/>
              </w:rPr>
              <w:t xml:space="preserve">Code of Federal Regulations (US) </w:t>
            </w:r>
            <w:hyperlink r:id="rId32" w:history="1">
              <w:r w:rsidRPr="009C4B60">
                <w:rPr>
                  <w:rStyle w:val="Hyperlink"/>
                  <w:rFonts w:cstheme="minorHAnsi"/>
                  <w:color w:val="3366FF"/>
                  <w:szCs w:val="22"/>
                </w:rPr>
                <w:t>https://www.ecfr.gov/current/title-21/chapter-I/subchapter-H/part-820/subpart-A</w:t>
              </w:r>
            </w:hyperlink>
          </w:p>
        </w:tc>
      </w:tr>
      <w:tr w14:paraId="335E76B4" w14:textId="77777777" w:rsidTr="005C08EE">
        <w:tblPrEx>
          <w:tblW w:w="0" w:type="auto"/>
          <w:tblInd w:w="-5" w:type="dxa"/>
          <w:tblLook w:val="04A0"/>
        </w:tblPrEx>
        <w:tc>
          <w:tcPr>
            <w:tcW w:w="754" w:type="dxa"/>
          </w:tcPr>
          <w:p w:rsidR="0054442E" w:rsidRPr="000853FA" w:rsidP="005C08EE" w14:paraId="3C8D575C" w14:textId="77777777">
            <w:pPr>
              <w:rPr>
                <w:rFonts w:cstheme="minorHAnsi"/>
                <w:szCs w:val="22"/>
              </w:rPr>
            </w:pPr>
            <w:r w:rsidRPr="000853FA">
              <w:rPr>
                <w:rFonts w:cstheme="minorHAnsi"/>
                <w:szCs w:val="22"/>
              </w:rPr>
              <w:t>Ref-5</w:t>
            </w:r>
          </w:p>
        </w:tc>
        <w:tc>
          <w:tcPr>
            <w:tcW w:w="7902" w:type="dxa"/>
          </w:tcPr>
          <w:p w:rsidR="0054442E" w:rsidRPr="000853FA" w:rsidP="005C08EE" w14:paraId="155D3246" w14:textId="77777777">
            <w:pPr>
              <w:rPr>
                <w:rFonts w:cstheme="minorHAnsi"/>
                <w:szCs w:val="22"/>
              </w:rPr>
            </w:pPr>
            <w:r w:rsidRPr="000853FA">
              <w:rPr>
                <w:rFonts w:cstheme="minorHAnsi"/>
                <w:szCs w:val="22"/>
              </w:rPr>
              <w:t xml:space="preserve">Preamble to Code of Federal Regulation 21 CFR, Part 820 – Quality System Regulations, Federal Register: October 7,1996 (Volume 61, Number 195) </w:t>
            </w:r>
            <w:hyperlink r:id="rId33" w:history="1">
              <w:r w:rsidRPr="009C4B60">
                <w:rPr>
                  <w:rStyle w:val="Hyperlink"/>
                  <w:rFonts w:cstheme="minorHAnsi"/>
                  <w:color w:val="3366FF"/>
                  <w:szCs w:val="22"/>
                </w:rPr>
                <w:t>https://www.fda.gov/medical-devices/quality-system-qs-regulationmedical-device</w:t>
              </w:r>
              <w:r w:rsidRPr="000853FA">
                <w:rPr>
                  <w:rStyle w:val="Hyperlink"/>
                  <w:rFonts w:cstheme="minorHAnsi"/>
                  <w:szCs w:val="22"/>
                </w:rPr>
                <w:t>-</w:t>
              </w:r>
              <w:r w:rsidRPr="009C4B60">
                <w:rPr>
                  <w:rStyle w:val="Hyperlink"/>
                  <w:rFonts w:cstheme="minorHAnsi"/>
                  <w:color w:val="3366FF"/>
                  <w:szCs w:val="22"/>
                </w:rPr>
                <w:t>current-good-manufacturing-practices-cgmp/medical-devices-current-good-manufacturing-practice-cgmp-final-rule-quality-system-regulation</w:t>
              </w:r>
            </w:hyperlink>
          </w:p>
        </w:tc>
      </w:tr>
      <w:tr w14:paraId="22DA7D5C" w14:textId="77777777" w:rsidTr="005C08EE">
        <w:tblPrEx>
          <w:tblW w:w="0" w:type="auto"/>
          <w:tblInd w:w="-5" w:type="dxa"/>
          <w:tblLook w:val="04A0"/>
        </w:tblPrEx>
        <w:tc>
          <w:tcPr>
            <w:tcW w:w="754" w:type="dxa"/>
          </w:tcPr>
          <w:p w:rsidR="0054442E" w:rsidRPr="000853FA" w:rsidP="005C08EE" w14:paraId="49FCB7F9" w14:textId="77777777">
            <w:pPr>
              <w:rPr>
                <w:rFonts w:cstheme="minorHAnsi"/>
                <w:szCs w:val="22"/>
              </w:rPr>
            </w:pPr>
            <w:r w:rsidRPr="000853FA">
              <w:rPr>
                <w:rFonts w:cstheme="minorHAnsi"/>
                <w:szCs w:val="22"/>
              </w:rPr>
              <w:t>Ref-6</w:t>
            </w:r>
          </w:p>
        </w:tc>
        <w:tc>
          <w:tcPr>
            <w:tcW w:w="7902" w:type="dxa"/>
          </w:tcPr>
          <w:p w:rsidR="0054442E" w:rsidRPr="000853FA" w:rsidP="005C08EE" w14:paraId="7F2AAA76" w14:textId="77777777">
            <w:pPr>
              <w:rPr>
                <w:rFonts w:cstheme="minorHAnsi"/>
                <w:szCs w:val="22"/>
              </w:rPr>
            </w:pPr>
            <w:r w:rsidRPr="000853FA">
              <w:rPr>
                <w:rFonts w:cstheme="minorHAnsi"/>
                <w:szCs w:val="22"/>
              </w:rPr>
              <w:t>TMV Guideline, ARIS</w:t>
            </w:r>
          </w:p>
        </w:tc>
      </w:tr>
      <w:tr w14:paraId="41C74C19" w14:textId="77777777" w:rsidTr="005C08EE">
        <w:tblPrEx>
          <w:tblW w:w="0" w:type="auto"/>
          <w:tblInd w:w="-5" w:type="dxa"/>
          <w:tblLook w:val="04A0"/>
        </w:tblPrEx>
        <w:tc>
          <w:tcPr>
            <w:tcW w:w="754" w:type="dxa"/>
          </w:tcPr>
          <w:p w:rsidR="0054442E" w:rsidRPr="007E57B4" w:rsidP="005C08EE" w14:paraId="3307FC14" w14:textId="77777777">
            <w:pPr>
              <w:rPr>
                <w:rFonts w:cstheme="minorHAnsi"/>
                <w:szCs w:val="24"/>
              </w:rPr>
            </w:pPr>
            <w:r w:rsidRPr="007E57B4">
              <w:rPr>
                <w:rFonts w:cstheme="minorHAnsi"/>
                <w:szCs w:val="24"/>
              </w:rPr>
              <w:t>Ref-7</w:t>
            </w:r>
          </w:p>
        </w:tc>
        <w:tc>
          <w:tcPr>
            <w:tcW w:w="7902" w:type="dxa"/>
          </w:tcPr>
          <w:p w:rsidR="0054442E" w:rsidRPr="00EE1370" w:rsidP="005C08EE" w14:paraId="545E53F2" w14:textId="77777777">
            <w:pPr>
              <w:rPr>
                <w:rFonts w:cstheme="minorHAnsi"/>
                <w:color w:val="00619F" w:themeColor="hyperlink"/>
                <w:szCs w:val="28"/>
                <w:u w:val="single"/>
              </w:rPr>
            </w:pPr>
            <w:r w:rsidRPr="007E57B4">
              <w:rPr>
                <w:rFonts w:cstheme="minorHAnsi"/>
                <w:szCs w:val="24"/>
              </w:rPr>
              <w:t>AAMI. The Quality System Compendium. CGMP Requirements and Industry Practice. Third Edition.</w:t>
            </w:r>
            <w:r>
              <w:rPr>
                <w:rFonts w:cstheme="minorHAnsi"/>
                <w:szCs w:val="24"/>
              </w:rPr>
              <w:t xml:space="preserve"> </w:t>
            </w:r>
            <w:hyperlink r:id="rId34" w:history="1">
              <w:r w:rsidRPr="009C4B60">
                <w:rPr>
                  <w:rStyle w:val="Hyperlink"/>
                  <w:rFonts w:cstheme="minorHAnsi"/>
                  <w:color w:val="3366FF"/>
                  <w:szCs w:val="28"/>
                </w:rPr>
                <w:t>www.aami.org</w:t>
              </w:r>
            </w:hyperlink>
          </w:p>
        </w:tc>
      </w:tr>
      <w:tr w14:paraId="1ADF896E" w14:textId="77777777" w:rsidTr="005C08EE">
        <w:tblPrEx>
          <w:tblW w:w="0" w:type="auto"/>
          <w:tblInd w:w="-5" w:type="dxa"/>
          <w:tblLook w:val="04A0"/>
        </w:tblPrEx>
        <w:tc>
          <w:tcPr>
            <w:tcW w:w="754" w:type="dxa"/>
          </w:tcPr>
          <w:p w:rsidR="0054442E" w:rsidRPr="006F02C4" w:rsidP="005C08EE" w14:paraId="15BF251D" w14:textId="77777777">
            <w:pPr>
              <w:rPr>
                <w:rFonts w:cstheme="minorHAnsi"/>
                <w:szCs w:val="28"/>
              </w:rPr>
            </w:pPr>
            <w:r>
              <w:rPr>
                <w:rFonts w:cstheme="minorHAnsi"/>
                <w:szCs w:val="28"/>
              </w:rPr>
              <w:t>Ref-8</w:t>
            </w:r>
          </w:p>
        </w:tc>
        <w:tc>
          <w:tcPr>
            <w:tcW w:w="7902" w:type="dxa"/>
          </w:tcPr>
          <w:p w:rsidR="0054442E" w:rsidP="005C08EE" w14:paraId="60FF8EB1" w14:textId="77777777">
            <w:pPr>
              <w:rPr>
                <w:rFonts w:cstheme="minorHAnsi"/>
                <w:szCs w:val="28"/>
              </w:rPr>
            </w:pPr>
            <w:r>
              <w:rPr>
                <w:rFonts w:cstheme="minorHAnsi"/>
                <w:szCs w:val="28"/>
              </w:rPr>
              <w:t>Guide to Inspections of Medical Device Manufacturers, December 1997, Page 9</w:t>
            </w:r>
          </w:p>
          <w:p w:rsidR="0054442E" w:rsidRPr="00934083" w:rsidP="00FB2312" w14:paraId="47120F3E" w14:textId="77777777">
            <w:pPr>
              <w:keepNext/>
              <w:rPr>
                <w:rFonts w:cstheme="minorHAnsi"/>
                <w:color w:val="0070C0"/>
                <w:szCs w:val="28"/>
                <w:u w:val="single"/>
              </w:rPr>
            </w:pPr>
            <w:hyperlink r:id="rId35" w:history="1">
              <w:r w:rsidRPr="00934083">
                <w:rPr>
                  <w:rStyle w:val="Hyperlink"/>
                  <w:rFonts w:cstheme="minorHAnsi"/>
                  <w:color w:val="0077CC" w:themeColor="accent1"/>
                  <w:szCs w:val="28"/>
                </w:rPr>
                <w:t>FDA | Page 9</w:t>
              </w:r>
            </w:hyperlink>
          </w:p>
        </w:tc>
      </w:tr>
    </w:tbl>
    <w:p w:rsidR="0054442E" w:rsidP="00FB2312" w14:paraId="0CA7F484" w14:textId="5BD55DB1">
      <w:pPr>
        <w:pStyle w:val="Caption"/>
      </w:pPr>
      <w:r>
        <w:t>Table 15</w:t>
      </w:r>
      <w:r w:rsidR="00FB2312">
        <w:t>: Reference Table</w:t>
      </w:r>
    </w:p>
    <w:p w:rsidR="00CF3540" w:rsidP="00CF3540" w14:paraId="37EA8BA8" w14:textId="0CFECF7C">
      <w:r>
        <w:br w:type="page"/>
      </w:r>
    </w:p>
    <w:p w:rsidR="0054442E" w:rsidP="00A61F37" w14:paraId="0808D1FF" w14:textId="77777777">
      <w:pPr>
        <w:pStyle w:val="Heading1"/>
      </w:pPr>
      <w:bookmarkStart w:id="1626" w:name="_Toc188651176"/>
      <w:bookmarkStart w:id="1627" w:name="_Toc256000061"/>
      <w:r>
        <w:t>Appendix, Rationale for Sampling Plan Approach</w:t>
      </w:r>
      <w:bookmarkEnd w:id="1627"/>
      <w:bookmarkEnd w:id="1626"/>
    </w:p>
    <w:p w:rsidR="0054442E" w:rsidP="0054442E" w14:paraId="37FC0029" w14:textId="77777777">
      <w:r>
        <w:t xml:space="preserve">The objective of validation sampling plans is to protect the patient to a commensurate level with the risk tolerated by defect escapes and to prevent a manufacturer from passing validation requirements where the process does not actually meet the predetermined requirements. </w:t>
      </w:r>
    </w:p>
    <w:p w:rsidR="0054442E" w:rsidP="0054442E" w14:paraId="599EF24B" w14:textId="77777777"/>
    <w:p w:rsidR="0054442E" w:rsidP="0054442E" w14:paraId="41C21970" w14:textId="77777777">
      <w:r w:rsidRPr="00B7487D">
        <w:t>Only RQL based sampling plans are allowed</w:t>
      </w:r>
      <w:r>
        <w:t xml:space="preserve"> for process validation</w:t>
      </w:r>
      <w:r w:rsidRPr="00B7487D">
        <w:t>. AQL based sampling plans may not be used. RQL based sampling plans are more stringent tha</w:t>
      </w:r>
      <w:r>
        <w:t>n</w:t>
      </w:r>
      <w:r w:rsidRPr="00B7487D">
        <w:t xml:space="preserve"> </w:t>
      </w:r>
      <w:r>
        <w:t xml:space="preserve">AQL sampling plans. The latter are typically used </w:t>
      </w:r>
      <w:r w:rsidRPr="00B7487D">
        <w:t>for normal product release during commercial manufacturing.</w:t>
      </w:r>
    </w:p>
    <w:p w:rsidR="0054442E" w:rsidP="00EE1EA6" w14:paraId="6EC3139C" w14:textId="702D7562">
      <w:pPr>
        <w:pStyle w:val="Heading2"/>
      </w:pPr>
      <w:bookmarkStart w:id="1628" w:name="_Toc171513826"/>
      <w:bookmarkStart w:id="1629" w:name="_Toc171514476"/>
      <w:bookmarkStart w:id="1630" w:name="_Toc171517129"/>
      <w:bookmarkStart w:id="1631" w:name="_Toc171517765"/>
      <w:bookmarkStart w:id="1632" w:name="_Toc171513827"/>
      <w:bookmarkStart w:id="1633" w:name="_Toc171514477"/>
      <w:bookmarkStart w:id="1634" w:name="_Toc171517130"/>
      <w:bookmarkStart w:id="1635" w:name="_Toc171517766"/>
      <w:bookmarkStart w:id="1636" w:name="_Toc171513828"/>
      <w:bookmarkStart w:id="1637" w:name="_Toc171514478"/>
      <w:bookmarkStart w:id="1638" w:name="_Toc171517131"/>
      <w:bookmarkStart w:id="1639" w:name="_Toc171517767"/>
      <w:bookmarkStart w:id="1640" w:name="_Toc171513829"/>
      <w:bookmarkStart w:id="1641" w:name="_Toc171514479"/>
      <w:bookmarkStart w:id="1642" w:name="_Toc171517132"/>
      <w:bookmarkStart w:id="1643" w:name="_Toc171517768"/>
      <w:bookmarkStart w:id="1644" w:name="_Toc171513830"/>
      <w:bookmarkStart w:id="1645" w:name="_Toc171514480"/>
      <w:bookmarkStart w:id="1646" w:name="_Toc171517133"/>
      <w:bookmarkStart w:id="1647" w:name="_Toc171517769"/>
      <w:bookmarkStart w:id="1648" w:name="_Toc171513831"/>
      <w:bookmarkStart w:id="1649" w:name="_Toc171514481"/>
      <w:bookmarkStart w:id="1650" w:name="_Toc171517134"/>
      <w:bookmarkStart w:id="1651" w:name="_Toc171517770"/>
      <w:bookmarkStart w:id="1652" w:name="_Toc171513888"/>
      <w:bookmarkStart w:id="1653" w:name="_Toc171514538"/>
      <w:bookmarkStart w:id="1654" w:name="_Toc171517191"/>
      <w:bookmarkStart w:id="1655" w:name="_Toc171517827"/>
      <w:bookmarkStart w:id="1656" w:name="_Toc171513889"/>
      <w:bookmarkStart w:id="1657" w:name="_Toc171514539"/>
      <w:bookmarkStart w:id="1658" w:name="_Toc171517192"/>
      <w:bookmarkStart w:id="1659" w:name="_Toc171517828"/>
      <w:bookmarkStart w:id="1660" w:name="_Toc171513890"/>
      <w:bookmarkStart w:id="1661" w:name="_Toc171514540"/>
      <w:bookmarkStart w:id="1662" w:name="_Toc171517193"/>
      <w:bookmarkStart w:id="1663" w:name="_Toc171517829"/>
      <w:bookmarkStart w:id="1664" w:name="_Toc171513948"/>
      <w:bookmarkStart w:id="1665" w:name="_Toc171514598"/>
      <w:bookmarkStart w:id="1666" w:name="_Toc171517251"/>
      <w:bookmarkStart w:id="1667" w:name="_Toc171517887"/>
      <w:bookmarkStart w:id="1668" w:name="_Toc171513949"/>
      <w:bookmarkStart w:id="1669" w:name="_Toc171514599"/>
      <w:bookmarkStart w:id="1670" w:name="_Toc171517252"/>
      <w:bookmarkStart w:id="1671" w:name="_Toc171517888"/>
      <w:bookmarkStart w:id="1672" w:name="_Toc18865117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Start w:id="1673" w:name="_Toc256000062"/>
      <w:r>
        <w:t>Approach to Attribute Single Sampling Plans</w:t>
      </w:r>
      <w:bookmarkEnd w:id="1673"/>
      <w:bookmarkEnd w:id="1672"/>
    </w:p>
    <w:p w:rsidR="0054442E" w:rsidP="00CF3540" w14:paraId="061876A9" w14:textId="77777777">
      <w:r>
        <w:t>The attribute sampling plans in this guideline are based on RQL (Rejectable Quality Level). The RQL of a sampling plan represents the quality level rejected by the sampling plan with a high level of confidence.</w:t>
      </w:r>
    </w:p>
    <w:p w:rsidR="0054442E" w:rsidP="00CF3540" w14:paraId="738CEED5" w14:textId="77777777"/>
    <w:p w:rsidR="0054442E" w:rsidP="00CF3540" w14:paraId="00B35F7D" w14:textId="761AC75E">
      <w:r>
        <w:t xml:space="preserve">Zero acceptance number (c=0) sampling plans are used to provide adequate protection for the patient. The level of protection is shown in Figure </w:t>
      </w:r>
      <w:r w:rsidR="00CF3540">
        <w:t>1</w:t>
      </w:r>
      <w:r w:rsidR="00533D3E">
        <w:t>7</w:t>
      </w:r>
      <w:r>
        <w:t xml:space="preserve">. </w:t>
      </w:r>
    </w:p>
    <w:p w:rsidR="0054442E" w:rsidP="0054442E" w14:paraId="7C62E67E" w14:textId="77777777"/>
    <w:p w:rsidR="00FB2312" w:rsidP="00FB2312" w14:paraId="706B88BC" w14:textId="77777777">
      <w:pPr>
        <w:keepNext/>
      </w:pPr>
      <w:r w:rsidRPr="00E63E30">
        <w:rPr>
          <w:noProof/>
        </w:rPr>
        <w:drawing>
          <wp:inline distT="0" distB="0" distL="0" distR="0">
            <wp:extent cx="4432300" cy="2954867"/>
            <wp:effectExtent l="0" t="0" r="6350" b="0"/>
            <wp:docPr id="1941440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40547" name="Picture 1"/>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4434379" cy="2956253"/>
                    </a:xfrm>
                    <a:prstGeom prst="rect">
                      <a:avLst/>
                    </a:prstGeom>
                    <a:noFill/>
                    <a:ln>
                      <a:noFill/>
                    </a:ln>
                  </pic:spPr>
                </pic:pic>
              </a:graphicData>
            </a:graphic>
          </wp:inline>
        </w:drawing>
      </w:r>
    </w:p>
    <w:p w:rsidR="0054442E" w:rsidP="00FB2312" w14:paraId="79A73B42" w14:textId="5821C9F5">
      <w:pPr>
        <w:pStyle w:val="Caption"/>
      </w:pPr>
      <w:r>
        <w:t>Figure 1</w:t>
      </w:r>
      <w:r w:rsidR="00533D3E">
        <w:t>7</w:t>
      </w:r>
      <w:r>
        <w:t>: OC Curve</w:t>
      </w:r>
      <w:r w:rsidR="003054A5">
        <w:t xml:space="preserve"> for Attribute Sampling Plan, 95% Confidence, 95% Reliability, 5% RQL, 0.086% AQL</w:t>
      </w:r>
    </w:p>
    <w:p w:rsidR="0054442E" w:rsidP="00CF3540" w14:paraId="592CD10B" w14:textId="6E131A4F">
      <w:r>
        <w:t xml:space="preserve">The horizontal axis in Figure </w:t>
      </w:r>
      <w:r w:rsidR="00CF3540">
        <w:t>1</w:t>
      </w:r>
      <w:r w:rsidR="00533D3E">
        <w:t>7</w:t>
      </w:r>
      <w:r>
        <w:t xml:space="preserve"> represents the percentage defective in a validation run. The vertical axis represents the probability that the sampling plan will accept the validation run at that percentage defective. In this OC curve, a validation run with 5% defect rate has a 4.8% probability of being accepted. The graph shows the P(A)=0.048 (=4.8%) probability of acceptance at the RQL = 5%. Therefore, a validation run with 5% defects will be rejected with a probability of 95.2%.</w:t>
      </w:r>
    </w:p>
    <w:p w:rsidR="0054442E" w:rsidP="0054442E" w14:paraId="275C675E" w14:textId="77777777">
      <w:pPr>
        <w:ind w:left="360"/>
      </w:pPr>
      <w:r>
        <w:t xml:space="preserve"> </w:t>
      </w:r>
    </w:p>
    <w:p w:rsidR="0054442E" w:rsidP="00CF3540" w14:paraId="1EF648DB" w14:textId="77777777">
      <w:r>
        <w:t xml:space="preserve">The OC curve also shows that a validation run with 0.086% defect rate has a 95% probability of being accepted. P(A)=0.95(=95%) probability of acceptance at the AQL=0.086%. </w:t>
      </w:r>
    </w:p>
    <w:p w:rsidR="0054442E" w:rsidP="0054442E" w14:paraId="4BF2F807" w14:textId="77777777">
      <w:pPr>
        <w:ind w:left="360"/>
        <w:rPr>
          <w:b/>
          <w:bCs/>
        </w:rPr>
      </w:pPr>
    </w:p>
    <w:p w:rsidR="00CF3540" w:rsidP="0054442E" w14:paraId="4E6DAFA8" w14:textId="77777777">
      <w:pPr>
        <w:ind w:left="360"/>
        <w:rPr>
          <w:b/>
          <w:bCs/>
        </w:rPr>
      </w:pPr>
    </w:p>
    <w:p w:rsidR="00CF3540" w:rsidP="0054442E" w14:paraId="3AC1025E" w14:textId="77777777">
      <w:pPr>
        <w:ind w:left="360"/>
        <w:rPr>
          <w:b/>
          <w:bCs/>
        </w:rPr>
      </w:pPr>
    </w:p>
    <w:p w:rsidR="00CF3540" w:rsidP="0054442E" w14:paraId="10970ACD" w14:textId="77777777">
      <w:pPr>
        <w:ind w:left="360"/>
        <w:rPr>
          <w:b/>
          <w:bCs/>
        </w:rPr>
      </w:pPr>
    </w:p>
    <w:p w:rsidR="00CF3540" w:rsidP="0054442E" w14:paraId="6D8C7585" w14:textId="77777777">
      <w:pPr>
        <w:ind w:left="360"/>
        <w:rPr>
          <w:b/>
          <w:bCs/>
        </w:rPr>
      </w:pPr>
    </w:p>
    <w:p w:rsidR="0054442E" w:rsidRPr="00410F59" w:rsidP="0054442E" w14:paraId="63A2D592" w14:textId="446E0642">
      <w:pPr>
        <w:ind w:left="360"/>
        <w:rPr>
          <w:b/>
          <w:bCs/>
        </w:rPr>
      </w:pPr>
      <w:r w:rsidRPr="00410F59">
        <w:rPr>
          <w:b/>
          <w:bCs/>
        </w:rPr>
        <w:t>Two methods may</w:t>
      </w:r>
      <w:r>
        <w:rPr>
          <w:b/>
          <w:bCs/>
        </w:rPr>
        <w:t xml:space="preserve"> </w:t>
      </w:r>
      <w:r w:rsidRPr="00410F59">
        <w:rPr>
          <w:b/>
          <w:bCs/>
        </w:rPr>
        <w:t>be used to calculate the sample sizes for c=0 sampling plans.</w:t>
      </w:r>
    </w:p>
    <w:p w:rsidR="0054442E" w:rsidP="0054442E" w14:paraId="78E83FC4" w14:textId="77777777">
      <w:pPr>
        <w:ind w:left="360"/>
      </w:pPr>
    </w:p>
    <w:p w:rsidR="0054442E" w:rsidP="0054442E" w14:paraId="00E33A78" w14:textId="77777777">
      <w:pPr>
        <w:ind w:left="360"/>
      </w:pPr>
      <w:r w:rsidRPr="00FE5041">
        <w:rPr>
          <w:b/>
          <w:bCs/>
          <w:u w:val="single"/>
        </w:rPr>
        <w:t>Method 1:</w:t>
      </w:r>
      <w:r>
        <w:t xml:space="preserve"> Uses Confidence and Reliability (Reliability = 100%-RQL)</w:t>
      </w:r>
    </w:p>
    <w:p w:rsidR="0054442E" w:rsidRPr="009A05B4" w:rsidP="0054442E" w14:paraId="2846AF3D" w14:textId="77777777">
      <w:pPr>
        <w:ind w:left="360"/>
        <w:rPr>
          <w:b/>
          <w:bCs/>
        </w:rPr>
      </w:pPr>
      <w:r>
        <w:t xml:space="preserve">Use the following formula, </w:t>
      </w:r>
      <w:r w:rsidRPr="009A05B4">
        <w:t xml:space="preserve">Reference: </w:t>
      </w:r>
      <w:r w:rsidRPr="009A05B4">
        <w:t>Duvage</w:t>
      </w:r>
      <w:r w:rsidRPr="009A05B4">
        <w:t>, M.A, 2015 Practical Engineering, Process, and Reliability Statistics, ASQ Quality Press Milwaukee, Wisconsin</w:t>
      </w:r>
    </w:p>
    <w:p w:rsidR="0054442E" w:rsidP="0054442E" w14:paraId="12E40789" w14:textId="381E1F04">
      <w:pPr>
        <w:tabs>
          <w:tab w:val="left" w:pos="2712"/>
        </w:tabs>
        <w:ind w:left="360"/>
      </w:pPr>
      <w:r>
        <w:tab/>
      </w:r>
    </w:p>
    <w:p w:rsidR="0054442E" w:rsidRPr="009C4B6D" w:rsidP="0054442E" w14:paraId="5101BCE1" w14:textId="77777777">
      <w:pPr>
        <w:ind w:left="360"/>
      </w:pPr>
      <m:oMathPara>
        <m:oMath>
          <m:r>
            <w:rPr>
              <w:rFonts w:ascii="Cambria Math" w:hAnsi="Cambria Math"/>
            </w:rPr>
            <m:t>n=</m:t>
          </m:r>
          <m:f>
            <m:fPr>
              <m:ctrlPr>
                <w:rPr>
                  <w:rFonts w:ascii="Cambria Math" w:hAnsi="Cambria Math"/>
                  <w:i/>
                </w:rPr>
              </m:ctrlPr>
            </m:fPr>
            <m:num>
              <m:r>
                <m:rPr>
                  <m:sty m:val="p"/>
                </m:rPr>
                <w:rPr>
                  <w:rFonts w:ascii="Cambria Math" w:hAnsi="Cambria Math"/>
                </w:rPr>
                <m:t>ln⁡</m:t>
              </m:r>
              <m:r>
                <w:rPr>
                  <w:rFonts w:ascii="Cambria Math" w:hAnsi="Cambria Math"/>
                </w:rPr>
                <m:t>(1-C)</m:t>
              </m:r>
            </m:num>
            <m:den>
              <m:func>
                <m:funcPr>
                  <m:ctrlPr>
                    <w:rPr>
                      <w:rFonts w:ascii="Cambria Math" w:hAnsi="Cambria Math"/>
                      <w:i/>
                    </w:rPr>
                  </m:ctrlPr>
                </m:funcPr>
                <m:fName>
                  <m:r>
                    <m:rPr>
                      <m:sty m:val="p"/>
                    </m:rPr>
                    <w:rPr>
                      <w:rFonts w:ascii="Cambria Math" w:hAnsi="Cambria Math"/>
                    </w:rPr>
                    <m:t>ln</m:t>
                  </m:r>
                </m:fName>
                <m:e>
                  <m:r>
                    <w:rPr>
                      <w:rFonts w:ascii="Cambria Math" w:hAnsi="Cambria Math"/>
                    </w:rPr>
                    <m:t>(R)</m:t>
                  </m:r>
                </m:e>
              </m:func>
            </m:den>
          </m:f>
        </m:oMath>
      </m:oMathPara>
    </w:p>
    <w:p w:rsidR="0054442E" w:rsidP="0054442E" w14:paraId="4AB7E0B9" w14:textId="77777777">
      <w:pPr>
        <w:ind w:left="360"/>
      </w:pPr>
    </w:p>
    <w:p w:rsidR="0054442E" w:rsidP="0054442E" w14:paraId="0B350302" w14:textId="77777777">
      <w:pPr>
        <w:ind w:left="360"/>
      </w:pPr>
      <w:r>
        <w:t>n: number of samples required for c=0 allowable failures</w:t>
      </w:r>
    </w:p>
    <w:p w:rsidR="0054442E" w:rsidP="0054442E" w14:paraId="0BC1297D" w14:textId="77777777">
      <w:pPr>
        <w:ind w:left="360"/>
      </w:pPr>
      <w:r>
        <w:t>C: Confidence</w:t>
      </w:r>
    </w:p>
    <w:p w:rsidR="0054442E" w:rsidP="0054442E" w14:paraId="0C615803" w14:textId="77777777">
      <w:pPr>
        <w:ind w:left="360"/>
      </w:pPr>
      <w:r>
        <w:t>R: Reliability</w:t>
      </w:r>
    </w:p>
    <w:p w:rsidR="0054442E" w:rsidP="0054442E" w14:paraId="0D7A1607" w14:textId="77777777">
      <w:pPr>
        <w:ind w:left="360"/>
      </w:pPr>
      <w:r>
        <w:t>Ln: natural logarithm of a number</w:t>
      </w:r>
    </w:p>
    <w:p w:rsidR="0054442E" w:rsidP="0054442E" w14:paraId="1FABC118" w14:textId="77777777">
      <w:pPr>
        <w:ind w:left="360"/>
      </w:pPr>
    </w:p>
    <w:p w:rsidR="0054442E" w:rsidRPr="00BC0FB3" w:rsidP="0054442E" w14:paraId="1B1B7230" w14:textId="77777777">
      <w:pPr>
        <w:ind w:left="360"/>
        <w:rPr>
          <w:b/>
          <w:bCs/>
          <w:u w:val="single"/>
        </w:rPr>
      </w:pPr>
      <w:r w:rsidRPr="00BC0FB3">
        <w:rPr>
          <w:b/>
          <w:bCs/>
          <w:u w:val="single"/>
        </w:rPr>
        <w:t>Example 1. Sample size calculation for CtS for PQ:</w:t>
      </w:r>
    </w:p>
    <w:p w:rsidR="0054442E" w:rsidRPr="00BC0FB3" w:rsidP="0054442E" w14:paraId="06F86552" w14:textId="77777777">
      <w:pPr>
        <w:ind w:left="360"/>
      </w:pPr>
      <w:r w:rsidRPr="00BC0FB3">
        <w:t>Confidence = 95%, therefore C = 0.95, and 1-C=0.05</w:t>
      </w:r>
    </w:p>
    <w:p w:rsidR="0054442E" w:rsidRPr="00BC0FB3" w:rsidP="0054442E" w14:paraId="0253B204" w14:textId="77777777">
      <w:pPr>
        <w:ind w:left="360"/>
      </w:pPr>
      <w:r w:rsidRPr="00BC0FB3">
        <w:t>Reliability = 99%, therefore R=0.99</w:t>
      </w:r>
    </w:p>
    <w:p w:rsidR="0054442E" w:rsidRPr="00BC0FB3" w:rsidP="0054442E" w14:paraId="5FE0F1E8" w14:textId="77777777">
      <w:pPr>
        <w:ind w:left="360"/>
      </w:pPr>
      <w:r w:rsidRPr="00BC0FB3">
        <w:tab/>
      </w:r>
    </w:p>
    <w:p w:rsidR="0054442E" w:rsidRPr="00BC0FB3" w:rsidP="0054442E" w14:paraId="53AD42CD" w14:textId="77777777">
      <w:pPr>
        <w:ind w:left="360"/>
        <w:rPr>
          <w:sz w:val="20"/>
          <w:szCs w:val="18"/>
        </w:rPr>
      </w:pPr>
      <m:oMath>
        <m:r>
          <w:rPr>
            <w:rFonts w:ascii="Cambria Math" w:hAnsi="Cambria Math"/>
            <w:sz w:val="24"/>
            <w:szCs w:val="22"/>
          </w:rPr>
          <m:t>n=</m:t>
        </m:r>
        <m:f>
          <m:fPr>
            <m:ctrlPr>
              <w:rPr>
                <w:rFonts w:ascii="Cambria Math" w:hAnsi="Cambria Math"/>
                <w:i/>
                <w:sz w:val="24"/>
                <w:szCs w:val="22"/>
              </w:rPr>
            </m:ctrlPr>
          </m:fPr>
          <m:num>
            <m:r>
              <m:rPr>
                <m:sty m:val="p"/>
              </m:rPr>
              <w:rPr>
                <w:rFonts w:ascii="Cambria Math" w:hAnsi="Cambria Math"/>
                <w:sz w:val="24"/>
                <w:szCs w:val="22"/>
              </w:rPr>
              <m:t>ln⁡</m:t>
            </m:r>
            <m:r>
              <w:rPr>
                <w:rFonts w:ascii="Cambria Math" w:hAnsi="Cambria Math"/>
                <w:sz w:val="24"/>
                <w:szCs w:val="22"/>
              </w:rPr>
              <m:t>(0.05)</m:t>
            </m:r>
          </m:num>
          <m:den>
            <m:func>
              <m:funcPr>
                <m:ctrlPr>
                  <w:rPr>
                    <w:rFonts w:ascii="Cambria Math" w:hAnsi="Cambria Math"/>
                    <w:i/>
                    <w:sz w:val="24"/>
                    <w:szCs w:val="22"/>
                  </w:rPr>
                </m:ctrlPr>
              </m:funcPr>
              <m:fName>
                <m:r>
                  <m:rPr>
                    <m:sty m:val="p"/>
                  </m:rPr>
                  <w:rPr>
                    <w:rFonts w:ascii="Cambria Math" w:hAnsi="Cambria Math"/>
                    <w:sz w:val="24"/>
                    <w:szCs w:val="22"/>
                  </w:rPr>
                  <m:t>ln</m:t>
                </m:r>
              </m:fName>
              <m:e>
                <m:r>
                  <w:rPr>
                    <w:rFonts w:ascii="Cambria Math" w:hAnsi="Cambria Math"/>
                    <w:sz w:val="24"/>
                    <w:szCs w:val="22"/>
                  </w:rPr>
                  <m:t>(0.99)</m:t>
                </m:r>
              </m:e>
            </m:func>
          </m:den>
        </m:f>
        <m:r>
          <w:rPr>
            <w:rFonts w:ascii="Cambria Math" w:hAnsi="Cambria Math"/>
            <w:sz w:val="24"/>
            <w:szCs w:val="22"/>
          </w:rPr>
          <m:t xml:space="preserve"> =</m:t>
        </m:r>
        <m:f>
          <m:fPr>
            <m:ctrlPr>
              <w:rPr>
                <w:rFonts w:ascii="Cambria Math" w:hAnsi="Cambria Math"/>
                <w:i/>
                <w:sz w:val="24"/>
                <w:szCs w:val="22"/>
              </w:rPr>
            </m:ctrlPr>
          </m:fPr>
          <m:num>
            <m:r>
              <m:rPr>
                <m:sty m:val="p"/>
              </m:rPr>
              <w:rPr>
                <w:rFonts w:ascii="Cambria Math" w:hAnsi="Cambria Math"/>
                <w:sz w:val="24"/>
                <w:szCs w:val="22"/>
              </w:rPr>
              <m:t>-2.99573</m:t>
            </m:r>
          </m:num>
          <m:den>
            <m:r>
              <w:rPr>
                <w:rFonts w:ascii="Cambria Math" w:hAnsi="Cambria Math"/>
                <w:sz w:val="24"/>
                <w:szCs w:val="22"/>
              </w:rPr>
              <m:t>-0.01005</m:t>
            </m:r>
          </m:den>
        </m:f>
        <m:r>
          <w:rPr>
            <w:rFonts w:ascii="Cambria Math" w:hAnsi="Cambria Math"/>
            <w:sz w:val="24"/>
            <w:szCs w:val="22"/>
          </w:rPr>
          <m:t>=298.073</m:t>
        </m:r>
      </m:oMath>
      <w:r w:rsidRPr="00BC0FB3">
        <w:rPr>
          <w:sz w:val="24"/>
          <w:szCs w:val="22"/>
        </w:rPr>
        <w:t>Round</w:t>
      </w:r>
      <w:r w:rsidRPr="00BC0FB3">
        <w:rPr>
          <w:sz w:val="24"/>
          <w:szCs w:val="22"/>
        </w:rPr>
        <w:t xml:space="preserve"> up to the next integer: n = 299</w:t>
      </w:r>
    </w:p>
    <w:p w:rsidR="0054442E" w:rsidRPr="00BC0FB3" w:rsidP="0054442E" w14:paraId="38E88412" w14:textId="77777777">
      <w:pPr>
        <w:ind w:left="360"/>
      </w:pPr>
    </w:p>
    <w:p w:rsidR="0054442E" w:rsidRPr="00BC0FB3" w:rsidP="0054442E" w14:paraId="4B1F78F6" w14:textId="77777777">
      <w:pPr>
        <w:ind w:left="360"/>
        <w:rPr>
          <w:b/>
          <w:bCs/>
          <w:u w:val="single"/>
        </w:rPr>
      </w:pPr>
      <w:r w:rsidRPr="00BC0FB3">
        <w:rPr>
          <w:b/>
          <w:bCs/>
          <w:u w:val="single"/>
        </w:rPr>
        <w:t>Example 2. Sample size calculation for CtQ for OQ:</w:t>
      </w:r>
    </w:p>
    <w:p w:rsidR="0054442E" w:rsidRPr="00BC0FB3" w:rsidP="0054442E" w14:paraId="117047B7" w14:textId="77777777">
      <w:pPr>
        <w:ind w:left="360"/>
      </w:pPr>
      <w:r w:rsidRPr="00BC0FB3">
        <w:t>Confidence = 95%, therefore C = 0.95, and 1-C=0.05</w:t>
      </w:r>
    </w:p>
    <w:p w:rsidR="0054442E" w:rsidRPr="00BC0FB3" w:rsidP="0054442E" w14:paraId="1B7C02DC" w14:textId="77777777">
      <w:pPr>
        <w:ind w:left="360"/>
      </w:pPr>
      <w:r w:rsidRPr="00BC0FB3">
        <w:t>Reliability = 90%, therefore R=0.9</w:t>
      </w:r>
    </w:p>
    <w:p w:rsidR="0054442E" w:rsidRPr="00BC0FB3" w:rsidP="0054442E" w14:paraId="7F86816B" w14:textId="77777777">
      <w:pPr>
        <w:ind w:left="360"/>
      </w:pPr>
      <w:r w:rsidRPr="00BC0FB3">
        <w:tab/>
      </w:r>
    </w:p>
    <w:p w:rsidR="0054442E" w:rsidRPr="00BC0FB3" w:rsidP="0054442E" w14:paraId="661FDB5B" w14:textId="77777777">
      <w:pPr>
        <w:ind w:left="360"/>
        <w:rPr>
          <w:sz w:val="24"/>
          <w:szCs w:val="22"/>
        </w:rPr>
      </w:pPr>
      <m:oMath>
        <m:r>
          <w:rPr>
            <w:rFonts w:ascii="Cambria Math" w:hAnsi="Cambria Math"/>
            <w:sz w:val="24"/>
            <w:szCs w:val="22"/>
          </w:rPr>
          <m:t>n=</m:t>
        </m:r>
        <m:f>
          <m:fPr>
            <m:ctrlPr>
              <w:rPr>
                <w:rFonts w:ascii="Cambria Math" w:hAnsi="Cambria Math"/>
                <w:i/>
                <w:sz w:val="24"/>
                <w:szCs w:val="22"/>
              </w:rPr>
            </m:ctrlPr>
          </m:fPr>
          <m:num>
            <m:r>
              <m:rPr>
                <m:sty m:val="p"/>
              </m:rPr>
              <w:rPr>
                <w:rFonts w:ascii="Cambria Math" w:hAnsi="Cambria Math"/>
                <w:sz w:val="24"/>
                <w:szCs w:val="22"/>
              </w:rPr>
              <m:t>ln⁡</m:t>
            </m:r>
            <m:r>
              <w:rPr>
                <w:rFonts w:ascii="Cambria Math" w:hAnsi="Cambria Math"/>
                <w:sz w:val="24"/>
                <w:szCs w:val="22"/>
              </w:rPr>
              <m:t>(0.05)</m:t>
            </m:r>
          </m:num>
          <m:den>
            <m:func>
              <m:funcPr>
                <m:ctrlPr>
                  <w:rPr>
                    <w:rFonts w:ascii="Cambria Math" w:hAnsi="Cambria Math"/>
                    <w:i/>
                    <w:sz w:val="24"/>
                    <w:szCs w:val="22"/>
                  </w:rPr>
                </m:ctrlPr>
              </m:funcPr>
              <m:fName>
                <m:r>
                  <m:rPr>
                    <m:sty m:val="p"/>
                  </m:rPr>
                  <w:rPr>
                    <w:rFonts w:ascii="Cambria Math" w:hAnsi="Cambria Math"/>
                    <w:sz w:val="24"/>
                    <w:szCs w:val="22"/>
                  </w:rPr>
                  <m:t>ln</m:t>
                </m:r>
              </m:fName>
              <m:e>
                <m:r>
                  <w:rPr>
                    <w:rFonts w:ascii="Cambria Math" w:hAnsi="Cambria Math"/>
                    <w:sz w:val="24"/>
                    <w:szCs w:val="22"/>
                  </w:rPr>
                  <m:t>(0.9)</m:t>
                </m:r>
              </m:e>
            </m:func>
          </m:den>
        </m:f>
        <m:r>
          <w:rPr>
            <w:rFonts w:ascii="Cambria Math" w:hAnsi="Cambria Math"/>
            <w:sz w:val="24"/>
            <w:szCs w:val="22"/>
          </w:rPr>
          <m:t xml:space="preserve"> =</m:t>
        </m:r>
        <m:f>
          <m:fPr>
            <m:ctrlPr>
              <w:rPr>
                <w:rFonts w:ascii="Cambria Math" w:hAnsi="Cambria Math"/>
                <w:i/>
                <w:sz w:val="24"/>
                <w:szCs w:val="22"/>
              </w:rPr>
            </m:ctrlPr>
          </m:fPr>
          <m:num>
            <m:r>
              <m:rPr>
                <m:sty m:val="p"/>
              </m:rPr>
              <w:rPr>
                <w:rFonts w:ascii="Cambria Math" w:hAnsi="Cambria Math"/>
                <w:sz w:val="24"/>
                <w:szCs w:val="22"/>
              </w:rPr>
              <m:t>-2.99573227</m:t>
            </m:r>
          </m:num>
          <m:den>
            <m:r>
              <w:rPr>
                <w:rFonts w:ascii="Cambria Math" w:hAnsi="Cambria Math"/>
                <w:sz w:val="24"/>
                <w:szCs w:val="22"/>
              </w:rPr>
              <m:t>-0.10536052</m:t>
            </m:r>
          </m:den>
        </m:f>
        <m:r>
          <w:rPr>
            <w:rFonts w:ascii="Cambria Math" w:hAnsi="Cambria Math"/>
            <w:sz w:val="24"/>
            <w:szCs w:val="22"/>
          </w:rPr>
          <m:t>=28.43</m:t>
        </m:r>
      </m:oMath>
      <w:r w:rsidRPr="00BC0FB3">
        <w:rPr>
          <w:sz w:val="24"/>
          <w:szCs w:val="22"/>
        </w:rPr>
        <w:t>Round</w:t>
      </w:r>
      <w:r w:rsidRPr="00BC0FB3">
        <w:rPr>
          <w:sz w:val="24"/>
          <w:szCs w:val="22"/>
        </w:rPr>
        <w:t xml:space="preserve"> up to the next integer: n = 29</w:t>
      </w:r>
    </w:p>
    <w:p w:rsidR="0054442E" w:rsidRPr="005C6F64" w:rsidP="0054442E" w14:paraId="6F2F2B11" w14:textId="77777777">
      <w:pPr>
        <w:spacing w:after="240"/>
        <w:ind w:left="360"/>
        <w:rPr>
          <w:b/>
          <w:bCs/>
          <w:noProof/>
        </w:rPr>
      </w:pPr>
    </w:p>
    <w:p w:rsidR="0054442E" w:rsidRPr="008555D8" w:rsidP="0054442E" w14:paraId="7F94126C" w14:textId="77777777">
      <w:pPr>
        <w:spacing w:after="240"/>
        <w:ind w:left="360"/>
        <w:rPr>
          <w:noProof/>
        </w:rPr>
      </w:pPr>
      <w:r w:rsidRPr="005C6F64">
        <w:rPr>
          <w:b/>
          <w:bCs/>
          <w:noProof/>
          <w:u w:val="single"/>
        </w:rPr>
        <w:t>Method 2:</w:t>
      </w:r>
      <w:r>
        <w:rPr>
          <w:noProof/>
        </w:rPr>
        <w:t xml:space="preserve"> </w:t>
      </w:r>
      <w:r w:rsidRPr="005C6F64">
        <w:rPr>
          <w:b/>
          <w:bCs/>
          <w:noProof/>
        </w:rPr>
        <w:t>Sample size can be obtained from [Ref. 2] STAT-12, Appendix F]</w:t>
      </w:r>
      <w:r>
        <w:rPr>
          <w:b/>
          <w:bCs/>
          <w:noProof/>
        </w:rPr>
        <w:t xml:space="preserve"> or calculated with software such as Minitab. </w:t>
      </w:r>
      <w:r>
        <w:rPr>
          <w:noProof/>
        </w:rPr>
        <w:t>Refer to an SME for clculating sample size using Mintab.</w:t>
      </w:r>
    </w:p>
    <w:p w:rsidR="0054442E" w:rsidP="00EE1EA6" w14:paraId="6AFB3D74" w14:textId="21313A83">
      <w:pPr>
        <w:pStyle w:val="Heading2"/>
      </w:pPr>
      <w:bookmarkStart w:id="1674" w:name="_Toc171513951"/>
      <w:bookmarkStart w:id="1675" w:name="_Toc171514601"/>
      <w:bookmarkStart w:id="1676" w:name="_Toc171517254"/>
      <w:bookmarkStart w:id="1677" w:name="_Toc171517890"/>
      <w:bookmarkStart w:id="1678" w:name="_Toc171513952"/>
      <w:bookmarkStart w:id="1679" w:name="_Toc171514602"/>
      <w:bookmarkStart w:id="1680" w:name="_Toc171517255"/>
      <w:bookmarkStart w:id="1681" w:name="_Toc171517891"/>
      <w:bookmarkStart w:id="1682" w:name="_Toc171513953"/>
      <w:bookmarkStart w:id="1683" w:name="_Toc171514603"/>
      <w:bookmarkStart w:id="1684" w:name="_Toc171517256"/>
      <w:bookmarkStart w:id="1685" w:name="_Toc171517892"/>
      <w:bookmarkStart w:id="1686" w:name="_Toc171513954"/>
      <w:bookmarkStart w:id="1687" w:name="_Toc171514604"/>
      <w:bookmarkStart w:id="1688" w:name="_Toc171517257"/>
      <w:bookmarkStart w:id="1689" w:name="_Toc171517893"/>
      <w:bookmarkStart w:id="1690" w:name="_Toc171513955"/>
      <w:bookmarkStart w:id="1691" w:name="_Toc171514605"/>
      <w:bookmarkStart w:id="1692" w:name="_Toc171517258"/>
      <w:bookmarkStart w:id="1693" w:name="_Toc171517894"/>
      <w:bookmarkStart w:id="1694" w:name="_Toc171513956"/>
      <w:bookmarkStart w:id="1695" w:name="_Toc171514606"/>
      <w:bookmarkStart w:id="1696" w:name="_Toc171517259"/>
      <w:bookmarkStart w:id="1697" w:name="_Toc171517895"/>
      <w:bookmarkStart w:id="1698" w:name="_Toc171513957"/>
      <w:bookmarkStart w:id="1699" w:name="_Toc171514607"/>
      <w:bookmarkStart w:id="1700" w:name="_Toc171517260"/>
      <w:bookmarkStart w:id="1701" w:name="_Toc171517896"/>
      <w:bookmarkStart w:id="1702" w:name="_Toc171513958"/>
      <w:bookmarkStart w:id="1703" w:name="_Toc171514608"/>
      <w:bookmarkStart w:id="1704" w:name="_Toc171517261"/>
      <w:bookmarkStart w:id="1705" w:name="_Toc171517897"/>
      <w:bookmarkStart w:id="1706" w:name="_Toc171513959"/>
      <w:bookmarkStart w:id="1707" w:name="_Toc171514609"/>
      <w:bookmarkStart w:id="1708" w:name="_Toc171517262"/>
      <w:bookmarkStart w:id="1709" w:name="_Toc171517898"/>
      <w:bookmarkStart w:id="1710" w:name="_Toc171513960"/>
      <w:bookmarkStart w:id="1711" w:name="_Toc171514610"/>
      <w:bookmarkStart w:id="1712" w:name="_Toc171517263"/>
      <w:bookmarkStart w:id="1713" w:name="_Toc171517899"/>
      <w:bookmarkStart w:id="1714" w:name="_Toc171513961"/>
      <w:bookmarkStart w:id="1715" w:name="_Toc171514611"/>
      <w:bookmarkStart w:id="1716" w:name="_Toc171517264"/>
      <w:bookmarkStart w:id="1717" w:name="_Toc171517900"/>
      <w:bookmarkStart w:id="1718" w:name="_Toc188651178"/>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Start w:id="1719" w:name="_Toc256000063"/>
      <w:r>
        <w:t>Approach for Variable Sampling Plans</w:t>
      </w:r>
      <w:bookmarkEnd w:id="1719"/>
      <w:bookmarkEnd w:id="1718"/>
    </w:p>
    <w:p w:rsidR="0054442E" w:rsidP="00CF3540" w14:paraId="43717670" w14:textId="77777777">
      <w:r>
        <w:t>The variable sampling plans in this guideline are based on both the RQL (Rejectable Quality Level) and a required sample size of n=15, 20, or 30.</w:t>
      </w:r>
    </w:p>
    <w:p w:rsidR="0054442E" w:rsidP="00CF3540" w14:paraId="72D984B8" w14:textId="77777777"/>
    <w:p w:rsidR="0054442E" w:rsidP="00CF3540" w14:paraId="1DC5857A" w14:textId="6EA93DDF">
      <w:r>
        <w:t xml:space="preserve">The RQL (in literature also referred to as </w:t>
      </w:r>
      <w:r>
        <w:t>Lot</w:t>
      </w:r>
      <w:r>
        <w:t xml:space="preserve"> Tolerance Percent Defective or LTPD in short) of a variable sampling plan represents the quality level rejected by the sampling plan on a routine basis (95% probability). The RQL has been established to provide adequate protection to the patient and is directly related to the required reliability. The RQL of a sampling plan is 100% - Reliability in %. For example, the reliability requirement for PQ is 99% and the RQL for the associated sampling plan is 1%. Reliability levels in Table </w:t>
      </w:r>
      <w:r w:rsidR="00CF3540">
        <w:t>9</w:t>
      </w:r>
      <w:r>
        <w:t xml:space="preserve"> match values typically used in the medical device industry.</w:t>
      </w:r>
    </w:p>
    <w:p w:rsidR="0054442E" w:rsidP="00CF3540" w14:paraId="3D9E4BE6" w14:textId="77777777"/>
    <w:p w:rsidR="0054442E" w:rsidP="00CF3540" w14:paraId="7CD28154" w14:textId="77777777">
      <w:r>
        <w:t>The AQL of a variable sampling plan represents the quality level accepted by the sampling plan on a routine basis (95% probability). AQL may be expressed as % non-conformance or as a Ppk index.</w:t>
      </w:r>
    </w:p>
    <w:p w:rsidR="0054442E" w:rsidP="00CF3540" w14:paraId="32B87E5C" w14:textId="524DE21A">
      <w:r>
        <w:t>For a process to be accepted during OQ and PQ on a routine basis, the estimated Ppk index of the process must be equal or higher than the Ppk value of the AQL.</w:t>
      </w:r>
      <w:r w:rsidR="00CF3540">
        <w:t xml:space="preserve"> </w:t>
      </w:r>
      <w:r>
        <w:t xml:space="preserve">AQL for a given RQL is dependent on sample size. The Ppk value of the AQL increases as sample size decreases. In other words, the fewer samples are tested, the higher the sampling plan’s AQL and therefore the Ppk index of the process must be. </w:t>
      </w:r>
    </w:p>
    <w:p w:rsidR="0054442E" w:rsidP="0054442E" w14:paraId="6AD45939" w14:textId="77777777">
      <w:pPr>
        <w:ind w:left="360"/>
      </w:pPr>
    </w:p>
    <w:p w:rsidR="0054442E" w:rsidP="00CF3540" w14:paraId="6F6FDCAF" w14:textId="77777777">
      <w:r>
        <w:t>N=15 samples represent the fewest number of samples which should be used for a variable sampling plan for the following reason. Variable data must be tested for normality before analysis commences. 15 data points are required to perform a normality test. Therefore, at least 15 samples are required for the variable sampling plan [Ref-2].</w:t>
      </w:r>
    </w:p>
    <w:p w:rsidR="0054442E" w:rsidP="00CF3540" w14:paraId="317224E1" w14:textId="77777777"/>
    <w:p w:rsidR="0054442E" w:rsidP="00CF3540" w14:paraId="02FD9698" w14:textId="101398B4">
      <w:r>
        <w:t>Validation runs with Ppk indices below that of the AQL are rejected with higher probability as shown in Figure 1</w:t>
      </w:r>
      <w:r w:rsidR="00533D3E">
        <w:t>8</w:t>
      </w:r>
      <w:r>
        <w:t>.</w:t>
      </w:r>
    </w:p>
    <w:p w:rsidR="0054442E" w:rsidP="0054442E" w14:paraId="55870A4D" w14:textId="77777777"/>
    <w:p w:rsidR="00FB2312" w:rsidP="00FB2312" w14:paraId="7B1B0C34" w14:textId="77777777">
      <w:pPr>
        <w:keepNext/>
      </w:pPr>
      <w:r w:rsidRPr="00D943D4">
        <w:rPr>
          <w:noProof/>
        </w:rPr>
        <w:drawing>
          <wp:inline distT="0" distB="0" distL="0" distR="0">
            <wp:extent cx="4534469" cy="3022979"/>
            <wp:effectExtent l="0" t="0" r="0" b="6350"/>
            <wp:docPr id="175863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3338" name="Picture 1"/>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4541569" cy="3027712"/>
                    </a:xfrm>
                    <a:prstGeom prst="rect">
                      <a:avLst/>
                    </a:prstGeom>
                    <a:noFill/>
                    <a:ln>
                      <a:noFill/>
                    </a:ln>
                  </pic:spPr>
                </pic:pic>
              </a:graphicData>
            </a:graphic>
          </wp:inline>
        </w:drawing>
      </w:r>
    </w:p>
    <w:p w:rsidR="003054A5" w:rsidRPr="004E0479" w:rsidP="003054A5" w14:paraId="2D738065" w14:textId="77777777">
      <w:pPr>
        <w:rPr>
          <w:i/>
          <w:iCs/>
          <w:sz w:val="20"/>
          <w:szCs w:val="18"/>
        </w:rPr>
      </w:pPr>
      <w:r w:rsidRPr="004E0479">
        <w:rPr>
          <w:i/>
          <w:iCs/>
          <w:sz w:val="20"/>
          <w:szCs w:val="18"/>
        </w:rPr>
        <w:t>Figure 18: OC Curve</w:t>
      </w:r>
      <w:r w:rsidRPr="004E0479">
        <w:rPr>
          <w:i/>
          <w:iCs/>
          <w:sz w:val="20"/>
          <w:szCs w:val="18"/>
        </w:rPr>
        <w:t xml:space="preserve"> for Confidence=95%, Reliability=95%, RQL=5%, AQL=0.024%</w:t>
      </w:r>
    </w:p>
    <w:p w:rsidR="0054442E" w:rsidP="0054442E" w14:paraId="19E53590" w14:textId="77777777"/>
    <w:p w:rsidR="0054442E" w:rsidP="00533D3E" w14:paraId="51513F06" w14:textId="3667B467">
      <w:r>
        <w:t>The horizontal axis in Figure 1</w:t>
      </w:r>
      <w:r w:rsidR="00533D3E">
        <w:t>8</w:t>
      </w:r>
      <w:r>
        <w:t xml:space="preserve"> represents the percent defective in a validation run. The vertical axis represents the probability that the sampling plan will accept the validation run at that percentage defective. In the OC curve, a validation run with 5% defects has a 5.3% probability of being accepted. The graph shows the P(A)=0.053 (=5.3%) probability of acceptance at the RQL = 5%. Therefore, the validation run will be rejected with a probability of 94.7%.</w:t>
      </w:r>
    </w:p>
    <w:p w:rsidR="0054442E" w:rsidP="00533D3E" w14:paraId="34EBA62B" w14:textId="77777777">
      <w:r>
        <w:t xml:space="preserve"> </w:t>
      </w:r>
    </w:p>
    <w:p w:rsidR="0054442E" w:rsidP="00533D3E" w14:paraId="4F52830E" w14:textId="77777777">
      <w:r>
        <w:t xml:space="preserve">The OC curve also shows that a validation run with 0.024% defects (or a Ppk of 1.16) has a 95% probability of being accepted. P(A)=0.95(=95%) probability of acceptance at the AQL=0.024%. </w:t>
      </w:r>
    </w:p>
    <w:p w:rsidR="0054442E" w:rsidP="00533D3E" w14:paraId="2B7A9C36" w14:textId="77777777"/>
    <w:p w:rsidR="0054442E" w:rsidP="00533D3E" w14:paraId="19C77B37" w14:textId="77777777">
      <w:r>
        <w:t xml:space="preserve">Values for sample size, AQL, and minimum required Ppk and Pp values for variable sampling plans </w:t>
      </w:r>
    </w:p>
    <w:p w:rsidR="0054442E" w:rsidP="00533D3E" w14:paraId="14CEBE48" w14:textId="5BE08652">
      <w:pPr>
        <w:rPr>
          <w:color w:val="000000" w:themeColor="text1"/>
        </w:rPr>
      </w:pPr>
      <w:r>
        <w:rPr>
          <w:color w:val="000000" w:themeColor="text1"/>
        </w:rPr>
        <w:t>from</w:t>
      </w:r>
      <w:r w:rsidRPr="001E1661">
        <w:rPr>
          <w:color w:val="000000" w:themeColor="text1"/>
        </w:rPr>
        <w:t xml:space="preserve"> [Ref-2], pages 347 to 403</w:t>
      </w:r>
      <w:r>
        <w:rPr>
          <w:color w:val="000000" w:themeColor="text1"/>
        </w:rPr>
        <w:t>, were used</w:t>
      </w:r>
      <w:r w:rsidR="004E0479">
        <w:rPr>
          <w:color w:val="000000" w:themeColor="text1"/>
        </w:rPr>
        <w:t>.</w:t>
      </w:r>
    </w:p>
    <w:p w:rsidR="0054442E" w:rsidP="0054442E" w14:paraId="5A6686B4" w14:textId="77777777">
      <w:pPr>
        <w:ind w:left="360"/>
        <w:contextualSpacing/>
        <w:rPr>
          <w:color w:val="000000" w:themeColor="text1"/>
        </w:rPr>
      </w:pPr>
    </w:p>
    <w:p w:rsidR="0054442E" w:rsidP="004E0479" w14:paraId="2A4A8A39" w14:textId="77777777">
      <w:r>
        <w:t>The following Minitab calculations can be used to establish the sample size for variable sampling plans. Minitab calculations yield slightly different results than what is presented in [Ref-2].</w:t>
      </w:r>
    </w:p>
    <w:p w:rsidR="0054442E" w:rsidP="0054442E" w14:paraId="08A57697" w14:textId="77777777"/>
    <w:p w:rsidR="002828B6" w:rsidP="002828B6" w14:paraId="7F3DCEB5" w14:textId="77777777">
      <w:pPr>
        <w:pStyle w:val="ListParagraph"/>
        <w:keepNext/>
        <w:numPr>
          <w:ilvl w:val="0"/>
          <w:numId w:val="0"/>
        </w:numPr>
      </w:pPr>
      <w:r>
        <w:t xml:space="preserve">Select Acceptance Sampling by Variables, Create/Compare as shown below. </w:t>
      </w:r>
      <w:r>
        <w:rPr>
          <w:noProof/>
        </w:rPr>
        <w:drawing>
          <wp:inline distT="0" distB="0" distL="0" distR="0">
            <wp:extent cx="5868670" cy="3242945"/>
            <wp:effectExtent l="0" t="0" r="0" b="5080"/>
            <wp:docPr id="14215123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12355" name="Picture 1" descr="A screenshot of a computer&#10;&#10;Description automatically generated"/>
                    <pic:cNvPicPr/>
                  </pic:nvPicPr>
                  <pic:blipFill>
                    <a:blip xmlns:r="http://schemas.openxmlformats.org/officeDocument/2006/relationships" r:embed="rId38"/>
                    <a:stretch>
                      <a:fillRect/>
                    </a:stretch>
                  </pic:blipFill>
                  <pic:spPr>
                    <a:xfrm>
                      <a:off x="0" y="0"/>
                      <a:ext cx="5868670" cy="3242945"/>
                    </a:xfrm>
                    <a:prstGeom prst="rect">
                      <a:avLst/>
                    </a:prstGeom>
                  </pic:spPr>
                </pic:pic>
              </a:graphicData>
            </a:graphic>
          </wp:inline>
        </w:drawing>
      </w:r>
    </w:p>
    <w:p w:rsidR="0054442E" w:rsidP="002828B6" w14:paraId="31FE7216" w14:textId="7EEF9363">
      <w:pPr>
        <w:pStyle w:val="Caption"/>
        <w:rPr>
          <w:sz w:val="20"/>
          <w:szCs w:val="20"/>
        </w:rPr>
      </w:pPr>
      <w:r w:rsidRPr="004E0479">
        <w:rPr>
          <w:sz w:val="20"/>
          <w:szCs w:val="20"/>
        </w:rPr>
        <w:t xml:space="preserve">Figure 19: </w:t>
      </w:r>
      <w:r w:rsidRPr="004E0479">
        <w:rPr>
          <w:sz w:val="20"/>
          <w:szCs w:val="20"/>
        </w:rPr>
        <w:t>MiniTab</w:t>
      </w:r>
      <w:r w:rsidRPr="004E0479">
        <w:rPr>
          <w:sz w:val="20"/>
          <w:szCs w:val="20"/>
        </w:rPr>
        <w:t xml:space="preserve"> screen shot</w:t>
      </w:r>
    </w:p>
    <w:p w:rsidR="004E0479" w:rsidP="004E0479" w14:paraId="665345AE" w14:textId="10C09033">
      <w:r>
        <w:br w:type="page"/>
      </w:r>
    </w:p>
    <w:p w:rsidR="0054442E" w:rsidP="004E0479" w14:paraId="2F7AA98B" w14:textId="663114A0">
      <w:pPr>
        <w:ind w:left="288" w:hanging="288"/>
      </w:pPr>
      <w:r w:rsidRPr="004E0479">
        <w:rPr>
          <w:b/>
          <w:bCs/>
        </w:rPr>
        <w:t xml:space="preserve">Step 1: </w:t>
      </w:r>
      <w:r>
        <w:t>Choose “Create a Sampling Plan”</w:t>
      </w:r>
    </w:p>
    <w:p w:rsidR="0054442E" w:rsidP="004E0479" w14:paraId="0FC70B19" w14:textId="77777777">
      <w:pPr>
        <w:pStyle w:val="ListParagraph"/>
        <w:numPr>
          <w:ilvl w:val="1"/>
          <w:numId w:val="10"/>
        </w:numPr>
        <w:spacing w:after="120"/>
        <w:ind w:left="288" w:hanging="288"/>
        <w:contextualSpacing w:val="0"/>
      </w:pPr>
      <w:r>
        <w:t>Choose “Percent defective”</w:t>
      </w:r>
    </w:p>
    <w:p w:rsidR="0054442E" w:rsidP="004E0479" w14:paraId="62016A23" w14:textId="77777777">
      <w:pPr>
        <w:pStyle w:val="ListParagraph"/>
        <w:numPr>
          <w:ilvl w:val="1"/>
          <w:numId w:val="10"/>
        </w:numPr>
        <w:spacing w:after="120"/>
        <w:ind w:left="288" w:hanging="288"/>
        <w:contextualSpacing w:val="0"/>
      </w:pPr>
      <w:r>
        <w:t>Enter the sampling plan’s AQL in % into field #1. Example: 0.028 for a sampling plan with RQL of 5% and sample size n=15. Note that the AQL in Minitab is slightly different from the numbers given in [Ref-2]. Minitab only allows entry of RQL and AQL. To obtain a sampling plan for a specific, desired sample size (for example n=15), the AQL must be adjusted. This is done on a trial-and-error basis until the correct sample size is obtained.</w:t>
      </w:r>
    </w:p>
    <w:p w:rsidR="0054442E" w:rsidP="004E0479" w14:paraId="6B51B96C" w14:textId="77777777">
      <w:pPr>
        <w:pStyle w:val="ListParagraph"/>
        <w:numPr>
          <w:ilvl w:val="1"/>
          <w:numId w:val="10"/>
        </w:numPr>
        <w:spacing w:after="120"/>
        <w:ind w:left="288" w:hanging="288"/>
        <w:contextualSpacing w:val="0"/>
      </w:pPr>
      <w:r>
        <w:t xml:space="preserve">Enter the RQL into field #2, Rejectable quality level. For </w:t>
      </w:r>
      <w:r>
        <w:t>instance</w:t>
      </w:r>
      <w:r>
        <w:t>, RQL=5% enter 5.</w:t>
      </w:r>
    </w:p>
    <w:p w:rsidR="0054442E" w:rsidP="004E0479" w14:paraId="394355FA" w14:textId="77777777">
      <w:pPr>
        <w:pStyle w:val="ListParagraph"/>
        <w:numPr>
          <w:ilvl w:val="1"/>
          <w:numId w:val="10"/>
        </w:numPr>
        <w:spacing w:after="120"/>
        <w:ind w:left="288" w:hanging="288"/>
        <w:contextualSpacing w:val="0"/>
      </w:pPr>
      <w:r>
        <w:t>Enter 0.05 for alpha and beta (for all variable sampling plans)</w:t>
      </w:r>
    </w:p>
    <w:p w:rsidR="0054442E" w:rsidP="004E0479" w14:paraId="67462778" w14:textId="77777777">
      <w:pPr>
        <w:pStyle w:val="ListParagraph"/>
        <w:numPr>
          <w:ilvl w:val="1"/>
          <w:numId w:val="10"/>
        </w:numPr>
        <w:spacing w:after="120"/>
        <w:ind w:left="288" w:hanging="288"/>
        <w:contextualSpacing w:val="0"/>
      </w:pPr>
      <w:r>
        <w:t>Set -0.5 for lower spec and 0.5 for upper spec (for all variable sampling plans). This is a method to normalize the calculated MSD (makes it easier to calculate Pp from MSD).</w:t>
      </w:r>
    </w:p>
    <w:p w:rsidR="002828B6" w:rsidP="002828B6" w14:paraId="249F14DA" w14:textId="77777777">
      <w:pPr>
        <w:keepNext/>
        <w:ind w:left="270"/>
      </w:pPr>
      <w:r>
        <w:rPr>
          <w:noProof/>
        </w:rPr>
        <mc:AlternateContent>
          <mc:Choice Requires="wps">
            <w:drawing>
              <wp:anchor distT="0" distB="0" distL="114300" distR="114300" simplePos="0" relativeHeight="251658240" behindDoc="0" locked="0" layoutInCell="1" allowOverlap="1">
                <wp:simplePos x="0" y="0"/>
                <wp:positionH relativeFrom="column">
                  <wp:posOffset>2505075</wp:posOffset>
                </wp:positionH>
                <wp:positionV relativeFrom="paragraph">
                  <wp:posOffset>636270</wp:posOffset>
                </wp:positionV>
                <wp:extent cx="295275" cy="259715"/>
                <wp:effectExtent l="0" t="0" r="28575" b="26035"/>
                <wp:wrapNone/>
                <wp:docPr id="1324491114" name="Oval 1"/>
                <wp:cNvGraphicFramePr/>
                <a:graphic xmlns:a="http://schemas.openxmlformats.org/drawingml/2006/main">
                  <a:graphicData uri="http://schemas.microsoft.com/office/word/2010/wordprocessingShape">
                    <wps:wsp xmlns:wps="http://schemas.microsoft.com/office/word/2010/wordprocessingShape">
                      <wps:cNvSpPr/>
                      <wps:spPr>
                        <a:xfrm>
                          <a:off x="0" y="0"/>
                          <a:ext cx="295275" cy="259715"/>
                        </a:xfrm>
                        <a:prstGeom prst="ellipse">
                          <a:avLst/>
                        </a:prstGeom>
                        <a:solidFill>
                          <a:sysClr val="window" lastClr="FFFFFF"/>
                        </a:solidFill>
                        <a:ln w="12700">
                          <a:solidFill>
                            <a:srgbClr val="0066A1">
                              <a:shade val="15000"/>
                            </a:srgbClr>
                          </a:solidFill>
                          <a:prstDash val="solid"/>
                        </a:ln>
                        <a:effectLst/>
                      </wps:spPr>
                      <wps:txbx>
                        <w:txbxContent>
                          <w:p w:rsidR="0054442E" w:rsidRPr="002A18FC" w:rsidP="0054442E" w14:textId="77777777">
                            <w:pPr>
                              <w:jc w:val="center"/>
                              <w:rPr>
                                <w:color w:val="000000" w:themeColor="text1"/>
                                <w:sz w:val="24"/>
                                <w:szCs w:val="24"/>
                              </w:rPr>
                            </w:pPr>
                            <w:r w:rsidRPr="002A18FC">
                              <w:rPr>
                                <w:color w:val="000000" w:themeColor="text1"/>
                                <w:sz w:val="24"/>
                                <w:szCs w:val="24"/>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 o:spid="_x0000_s1028" style="width:23.25pt;height:20.45pt;margin-top:50.1pt;margin-left:197.25pt;mso-height-percent:0;mso-height-relative:margin;mso-width-percent:0;mso-width-relative:margin;mso-wrap-distance-bottom:0;mso-wrap-distance-left:9pt;mso-wrap-distance-right:9pt;mso-wrap-distance-top:0;mso-wrap-style:square;position:absolute;visibility:visible;v-text-anchor:middle;z-index:251659264" fillcolor="window" strokecolor="#002741" strokeweight="1pt">
                <v:textbox inset="0,0,0,0">
                  <w:txbxContent>
                    <w:p w:rsidR="0054442E" w:rsidRPr="002A18FC" w:rsidP="0054442E" w14:paraId="0247C6A7" w14:textId="77777777">
                      <w:pPr>
                        <w:jc w:val="center"/>
                        <w:rPr>
                          <w:color w:val="000000" w:themeColor="text1"/>
                          <w:sz w:val="24"/>
                          <w:szCs w:val="24"/>
                        </w:rPr>
                      </w:pPr>
                      <w:r w:rsidRPr="002A18FC">
                        <w:rPr>
                          <w:color w:val="000000" w:themeColor="text1"/>
                          <w:sz w:val="24"/>
                          <w:szCs w:val="24"/>
                        </w:rPr>
                        <w:t>1</w:t>
                      </w:r>
                    </w:p>
                  </w:txbxContent>
                </v:textbox>
              </v:oval>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2105025</wp:posOffset>
                </wp:positionH>
                <wp:positionV relativeFrom="paragraph">
                  <wp:posOffset>791210</wp:posOffset>
                </wp:positionV>
                <wp:extent cx="295275" cy="259715"/>
                <wp:effectExtent l="0" t="0" r="28575" b="26035"/>
                <wp:wrapNone/>
                <wp:docPr id="180650657" name="Oval 1"/>
                <wp:cNvGraphicFramePr/>
                <a:graphic xmlns:a="http://schemas.openxmlformats.org/drawingml/2006/main">
                  <a:graphicData uri="http://schemas.microsoft.com/office/word/2010/wordprocessingShape">
                    <wps:wsp xmlns:wps="http://schemas.microsoft.com/office/word/2010/wordprocessingShape">
                      <wps:cNvSpPr/>
                      <wps:spPr>
                        <a:xfrm>
                          <a:off x="0" y="0"/>
                          <a:ext cx="295275" cy="259715"/>
                        </a:xfrm>
                        <a:prstGeom prst="ellipse">
                          <a:avLst/>
                        </a:prstGeom>
                        <a:solidFill>
                          <a:sysClr val="window" lastClr="FFFFFF"/>
                        </a:solidFill>
                        <a:ln w="12700">
                          <a:solidFill>
                            <a:srgbClr val="0066A1">
                              <a:shade val="15000"/>
                            </a:srgbClr>
                          </a:solidFill>
                          <a:prstDash val="solid"/>
                        </a:ln>
                        <a:effectLst/>
                      </wps:spPr>
                      <wps:txbx>
                        <w:txbxContent>
                          <w:p w:rsidR="0054442E" w:rsidRPr="002A18FC" w:rsidP="0054442E" w14:textId="77777777">
                            <w:pPr>
                              <w:jc w:val="center"/>
                              <w:rPr>
                                <w:color w:val="000000" w:themeColor="text1"/>
                                <w:sz w:val="24"/>
                                <w:szCs w:val="24"/>
                              </w:rPr>
                            </w:pPr>
                            <w:r>
                              <w:rPr>
                                <w:color w:val="000000" w:themeColor="text1"/>
                                <w:sz w:val="24"/>
                                <w:szCs w:val="24"/>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_x0000_s1029" style="width:23.25pt;height:20.45pt;margin-top:62.3pt;margin-left:165.75pt;mso-height-percent:0;mso-height-relative:margin;mso-width-percent:0;mso-width-relative:margin;mso-wrap-distance-bottom:0;mso-wrap-distance-left:9pt;mso-wrap-distance-right:9pt;mso-wrap-distance-top:0;mso-wrap-style:square;position:absolute;visibility:visible;v-text-anchor:middle;z-index:251661312" fillcolor="window" strokecolor="#002741" strokeweight="1pt">
                <v:textbox inset="0,0,0,0">
                  <w:txbxContent>
                    <w:p w:rsidR="0054442E" w:rsidRPr="002A18FC" w:rsidP="0054442E" w14:paraId="12AC27F7" w14:textId="77777777">
                      <w:pPr>
                        <w:jc w:val="center"/>
                        <w:rPr>
                          <w:color w:val="000000" w:themeColor="text1"/>
                          <w:sz w:val="24"/>
                          <w:szCs w:val="24"/>
                        </w:rPr>
                      </w:pPr>
                      <w:r>
                        <w:rPr>
                          <w:color w:val="000000" w:themeColor="text1"/>
                          <w:sz w:val="24"/>
                          <w:szCs w:val="24"/>
                        </w:rPr>
                        <w:t>2</w:t>
                      </w:r>
                    </w:p>
                  </w:txbxContent>
                </v:textbox>
              </v:oval>
            </w:pict>
          </mc:Fallback>
        </mc:AlternateContent>
      </w:r>
      <w:r>
        <w:rPr>
          <w:noProof/>
        </w:rPr>
        <w:drawing>
          <wp:inline distT="0" distB="0" distL="0" distR="0">
            <wp:extent cx="3461979" cy="3038475"/>
            <wp:effectExtent l="19050" t="19050" r="24765" b="9525"/>
            <wp:docPr id="195769886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98864" name="Picture 1" descr="A screenshot of a computer screen&#10;&#10;Description automatically generated"/>
                    <pic:cNvPicPr/>
                  </pic:nvPicPr>
                  <pic:blipFill>
                    <a:blip xmlns:r="http://schemas.openxmlformats.org/officeDocument/2006/relationships" r:embed="rId39"/>
                    <a:stretch>
                      <a:fillRect/>
                    </a:stretch>
                  </pic:blipFill>
                  <pic:spPr>
                    <a:xfrm>
                      <a:off x="0" y="0"/>
                      <a:ext cx="3470331" cy="3045806"/>
                    </a:xfrm>
                    <a:prstGeom prst="rect">
                      <a:avLst/>
                    </a:prstGeom>
                    <a:ln w="12700">
                      <a:solidFill>
                        <a:srgbClr val="0066A1"/>
                      </a:solidFill>
                    </a:ln>
                  </pic:spPr>
                </pic:pic>
              </a:graphicData>
            </a:graphic>
          </wp:inline>
        </w:drawing>
      </w:r>
    </w:p>
    <w:p w:rsidR="0054442E" w:rsidP="004E0479" w14:paraId="096503A9" w14:textId="19A92B57">
      <w:pPr>
        <w:pStyle w:val="Caption"/>
        <w:ind w:firstLine="360"/>
      </w:pPr>
      <w:r>
        <w:t xml:space="preserve">Figure 20: </w:t>
      </w:r>
      <w:r>
        <w:t>MiniTab</w:t>
      </w:r>
      <w:r>
        <w:t xml:space="preserve"> screen shot</w:t>
      </w:r>
    </w:p>
    <w:p w:rsidR="004E0479" w:rsidRPr="004E0479" w:rsidP="004E0479" w14:paraId="2FBB1CC9" w14:textId="384C0BAF">
      <w:r>
        <w:br w:type="page"/>
      </w:r>
    </w:p>
    <w:p w:rsidR="0054442E" w:rsidP="004E0479" w14:paraId="034A0E70" w14:textId="217781B8">
      <w:r w:rsidRPr="00B31AC1">
        <w:rPr>
          <w:b/>
          <w:bCs/>
        </w:rPr>
        <w:t>Step 2:</w:t>
      </w:r>
      <w:r>
        <w:t xml:space="preserve"> </w:t>
      </w:r>
      <w:r>
        <w:t>Click on “Graphs” and deselect ‘Acceptance region plot,’ then press OK twice and review the results.</w:t>
      </w:r>
    </w:p>
    <w:p w:rsidR="004E0479" w:rsidP="004E0479" w14:paraId="371265B7" w14:textId="77777777"/>
    <w:p w:rsidR="002828B6" w:rsidP="004E0479" w14:paraId="6F03C4DF" w14:textId="77777777">
      <w:pPr>
        <w:pStyle w:val="ListParagraph"/>
        <w:keepNext/>
        <w:numPr>
          <w:ilvl w:val="0"/>
          <w:numId w:val="0"/>
        </w:numPr>
        <w:ind w:left="270" w:hanging="270"/>
      </w:pPr>
      <w:r>
        <w:rPr>
          <w:noProof/>
        </w:rPr>
        <w:drawing>
          <wp:inline distT="0" distB="0" distL="0" distR="0">
            <wp:extent cx="6120824" cy="2867025"/>
            <wp:effectExtent l="19050" t="19050" r="13335" b="9525"/>
            <wp:docPr id="810271970"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71970" name="Picture 1" descr="A screen shot of a computer screen&#10;&#10;Description automatically generated"/>
                    <pic:cNvPicPr/>
                  </pic:nvPicPr>
                  <pic:blipFill>
                    <a:blip xmlns:r="http://schemas.openxmlformats.org/officeDocument/2006/relationships" r:embed="rId40"/>
                    <a:stretch>
                      <a:fillRect/>
                    </a:stretch>
                  </pic:blipFill>
                  <pic:spPr>
                    <a:xfrm>
                      <a:off x="0" y="0"/>
                      <a:ext cx="6123739" cy="2868390"/>
                    </a:xfrm>
                    <a:prstGeom prst="rect">
                      <a:avLst/>
                    </a:prstGeom>
                    <a:ln w="12700">
                      <a:solidFill>
                        <a:srgbClr val="0066A1"/>
                      </a:solidFill>
                    </a:ln>
                  </pic:spPr>
                </pic:pic>
              </a:graphicData>
            </a:graphic>
          </wp:inline>
        </w:drawing>
      </w:r>
    </w:p>
    <w:p w:rsidR="0054442E" w:rsidP="002828B6" w14:paraId="4B18A053" w14:textId="21F798C1">
      <w:pPr>
        <w:pStyle w:val="Caption"/>
      </w:pPr>
      <w:r>
        <w:t xml:space="preserve">Figure 21: </w:t>
      </w:r>
      <w:r w:rsidRPr="002248F7">
        <w:t>MiniTab</w:t>
      </w:r>
      <w:r w:rsidRPr="002248F7">
        <w:t xml:space="preserve"> screen shot</w:t>
      </w:r>
    </w:p>
    <w:p w:rsidR="0054442E" w:rsidP="004E0479" w14:paraId="0ACB6E7E" w14:textId="77777777">
      <w:r>
        <w:t>Note: Minitab does not provide a Ppk or Pp value for the sampling plan criteria. The Ppk is calculated from the k Value.</w:t>
      </w:r>
    </w:p>
    <w:p w:rsidR="0054442E" w:rsidP="004E0479" w14:paraId="395A9630" w14:textId="77777777">
      <w:r>
        <w:t>Ppk = k Value/3, for this example, Ppk = 2.54757/3 = 0.85 after rounding to 2 numbers.</w:t>
      </w:r>
    </w:p>
    <w:p w:rsidR="0054442E" w:rsidP="004E0479" w14:paraId="6340950A" w14:textId="77777777">
      <w:r>
        <w:t>Pp = 1/(6*MSD), for this example, Pp = 1/ (6*0.179809) = 0.93 after rounding to 2 digits</w:t>
      </w:r>
    </w:p>
    <w:p w:rsidR="004E0479" w:rsidP="004E0479" w14:paraId="458DE982" w14:textId="77777777"/>
    <w:p w:rsidR="0054442E" w:rsidP="004E0479" w14:paraId="3FA28629" w14:textId="4EE8DB4D">
      <w:r>
        <w:t xml:space="preserve">Note: </w:t>
      </w:r>
      <w:r>
        <w:t>When using Minitab versions 19 and above, click on ‘Options” and select “Calculate the maximum standard deviation with the Wallis procedure”.</w:t>
      </w:r>
    </w:p>
    <w:p w:rsidR="002828B6" w:rsidP="002828B6" w14:paraId="3A94BB5E" w14:textId="77777777">
      <w:pPr>
        <w:keepNext/>
      </w:pPr>
      <w:r>
        <w:rPr>
          <w:noProof/>
        </w:rPr>
        <w:drawing>
          <wp:inline distT="0" distB="0" distL="0" distR="0">
            <wp:extent cx="5868670" cy="2931160"/>
            <wp:effectExtent l="19050" t="19050" r="17780" b="21590"/>
            <wp:docPr id="17696946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94668" name="Picture 1" descr="A screenshot of a computer&#10;&#10;Description automatically generated"/>
                    <pic:cNvPicPr/>
                  </pic:nvPicPr>
                  <pic:blipFill>
                    <a:blip xmlns:r="http://schemas.openxmlformats.org/officeDocument/2006/relationships" r:embed="rId41"/>
                    <a:stretch>
                      <a:fillRect/>
                    </a:stretch>
                  </pic:blipFill>
                  <pic:spPr>
                    <a:xfrm>
                      <a:off x="0" y="0"/>
                      <a:ext cx="5868670" cy="2931160"/>
                    </a:xfrm>
                    <a:prstGeom prst="rect">
                      <a:avLst/>
                    </a:prstGeom>
                    <a:ln w="12700">
                      <a:solidFill>
                        <a:srgbClr val="0066A1"/>
                      </a:solidFill>
                    </a:ln>
                  </pic:spPr>
                </pic:pic>
              </a:graphicData>
            </a:graphic>
          </wp:inline>
        </w:drawing>
      </w:r>
    </w:p>
    <w:p w:rsidR="0054442E" w:rsidP="002828B6" w14:paraId="5901B174" w14:textId="3C54811A">
      <w:pPr>
        <w:pStyle w:val="Caption"/>
      </w:pPr>
      <w:r>
        <w:t xml:space="preserve">Figure22: </w:t>
      </w:r>
      <w:r w:rsidRPr="007139BE">
        <w:t>MiniTab</w:t>
      </w:r>
      <w:r w:rsidRPr="007139BE">
        <w:t xml:space="preserve"> screen shot</w:t>
      </w:r>
    </w:p>
    <w:p w:rsidR="004E0479" w:rsidRPr="004E0479" w:rsidP="004E0479" w14:paraId="1F923866" w14:textId="14955557">
      <w:r>
        <w:br w:type="page"/>
      </w:r>
    </w:p>
    <w:p w:rsidR="0054442E" w:rsidRPr="004E0479" w:rsidP="00EE1EA6" w14:paraId="24440799" w14:textId="756BF8FA">
      <w:pPr>
        <w:pStyle w:val="Heading2"/>
        <w:rPr>
          <w:lang w:val="nl-NL"/>
        </w:rPr>
      </w:pPr>
      <w:bookmarkStart w:id="1720" w:name="_Toc188651179"/>
      <w:bookmarkStart w:id="1721" w:name="_Toc256000064"/>
      <w:r w:rsidRPr="004E0479">
        <w:rPr>
          <w:lang w:val="nl-NL"/>
        </w:rPr>
        <w:t>Pp/</w:t>
      </w:r>
      <w:r w:rsidRPr="004E0479">
        <w:rPr>
          <w:lang w:val="nl-NL"/>
        </w:rPr>
        <w:t>Ppk</w:t>
      </w:r>
      <w:r w:rsidRPr="004E0479">
        <w:rPr>
          <w:lang w:val="nl-NL"/>
        </w:rPr>
        <w:t xml:space="preserve"> versus </w:t>
      </w:r>
      <w:r w:rsidRPr="004E0479">
        <w:rPr>
          <w:lang w:val="nl-NL"/>
        </w:rPr>
        <w:t>Cp</w:t>
      </w:r>
      <w:r w:rsidRPr="004E0479">
        <w:rPr>
          <w:lang w:val="nl-NL"/>
        </w:rPr>
        <w:t>/</w:t>
      </w:r>
      <w:r w:rsidRPr="004E0479">
        <w:rPr>
          <w:lang w:val="nl-NL"/>
        </w:rPr>
        <w:t>Cpk</w:t>
      </w:r>
      <w:bookmarkEnd w:id="1721"/>
      <w:bookmarkEnd w:id="1720"/>
    </w:p>
    <w:p w:rsidR="00363C0C" w:rsidRPr="000E69FB" w:rsidP="0016378F" w14:paraId="263656FC" w14:textId="6572B4B8">
      <w:r>
        <w:t xml:space="preserve">Ppk and Pp indices are </w:t>
      </w:r>
      <w:r>
        <w:t>similar to</w:t>
      </w:r>
      <w:r>
        <w:t xml:space="preserve"> Cpk and Cp whereas Ppk/Pp are calculated using the overall standard deviation rather than the within-subgroup standard deviation. Ppk and Pp represent the actual performance of the OQ and PQ runs including all sources of variation. As such, the Ppk and Pp are the appropriate values for sampling plans [Ref-2, page 329].</w:t>
      </w:r>
    </w:p>
    <w:sectPr w:rsidSect="00167D97">
      <w:headerReference w:type="default" r:id="rId42"/>
      <w:footerReference w:type="default" r:id="rId43"/>
      <w:headerReference w:type="first" r:id="rId44"/>
      <w:footerReference w:type="first" r:id="rId45"/>
      <w:pgSz w:w="11907" w:h="16839" w:code="9"/>
      <w:pgMar w:top="1411" w:right="1411" w:bottom="1411" w:left="1411" w:header="0"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348"/>
      <w:gridCol w:w="4735"/>
      <w:gridCol w:w="2002"/>
    </w:tblGrid>
    <w:tr w14:paraId="7924E94D" w14:textId="77777777" w:rsidTr="005C08EE">
      <w:tblPrEx>
        <w:tblW w:w="5000" w:type="pct"/>
        <w:tblLook w:val="04A0"/>
      </w:tblPrEx>
      <w:trPr>
        <w:trHeight w:val="485"/>
      </w:trPr>
      <w:tc>
        <w:tcPr>
          <w:tcW w:w="1292" w:type="pct"/>
        </w:tcPr>
        <w:p w:rsidR="00C11856" w:rsidP="00C11856" w14:paraId="44E96DFF" w14:textId="77777777">
          <w:pPr>
            <w:pStyle w:val="HeaderandFooter"/>
            <w:ind w:right="-176"/>
            <w:jc w:val="left"/>
            <w:rPr>
              <w:sz w:val="16"/>
              <w:szCs w:val="16"/>
            </w:rPr>
          </w:pPr>
          <w:r>
            <w:rPr>
              <w:sz w:val="16"/>
              <w:szCs w:val="16"/>
            </w:rPr>
            <w:t xml:space="preserve">Record ID: </w:t>
          </w:r>
          <w:r w:rsidRPr="00C11856">
            <w:rPr>
              <w:sz w:val="16"/>
              <w:szCs w:val="16"/>
            </w:rPr>
            <w:t>00005313</w:t>
          </w:r>
        </w:p>
        <w:p w:rsidR="00C11856" w:rsidP="00C11856" w14:paraId="4A2DB876" w14:textId="77777777">
          <w:pPr>
            <w:pStyle w:val="HeaderandFooter"/>
            <w:ind w:right="-176"/>
            <w:jc w:val="left"/>
            <w:rPr>
              <w:sz w:val="16"/>
              <w:szCs w:val="16"/>
            </w:rPr>
          </w:pPr>
          <w:r>
            <w:rPr>
              <w:sz w:val="16"/>
              <w:szCs w:val="16"/>
            </w:rPr>
            <w:t>Record Version: 2</w:t>
          </w:r>
        </w:p>
        <w:p w:rsidR="00667273" w:rsidRPr="00167D97" w:rsidP="00667273" w14:paraId="2F8E602D" w14:textId="77777777">
          <w:pPr>
            <w:pStyle w:val="HeaderandFooter"/>
            <w:ind w:right="-176"/>
            <w:jc w:val="left"/>
            <w:rPr>
              <w:sz w:val="16"/>
              <w:szCs w:val="16"/>
            </w:rPr>
          </w:pPr>
          <w:r w:rsidRPr="00167D97">
            <w:rPr>
              <w:sz w:val="16"/>
              <w:szCs w:val="16"/>
            </w:rPr>
            <w:t xml:space="preserve">Template ID: </w:t>
          </w:r>
          <w:r w:rsidRPr="00167D97" w:rsidR="003354DA">
            <w:rPr>
              <w:sz w:val="16"/>
              <w:szCs w:val="16"/>
            </w:rPr>
            <w:fldChar w:fldCharType="begin"/>
          </w:r>
          <w:r w:rsidRPr="00167D97" w:rsidR="003354DA">
            <w:rPr>
              <w:sz w:val="16"/>
              <w:szCs w:val="16"/>
            </w:rPr>
            <w:instrText xml:space="preserve"> DOCPROPERTY  "Document Id"  \* MERGEFORMAT </w:instrText>
          </w:r>
          <w:r w:rsidRPr="00167D97" w:rsidR="003354DA">
            <w:rPr>
              <w:sz w:val="16"/>
              <w:szCs w:val="16"/>
            </w:rPr>
            <w:fldChar w:fldCharType="separate"/>
          </w:r>
          <w:r w:rsidRPr="00167D97" w:rsidR="003354DA">
            <w:rPr>
              <w:sz w:val="16"/>
              <w:szCs w:val="16"/>
            </w:rPr>
            <w:t>00005313</w:t>
          </w:r>
          <w:r w:rsidRPr="00167D97" w:rsidR="003354DA">
            <w:rPr>
              <w:sz w:val="16"/>
              <w:szCs w:val="16"/>
            </w:rPr>
            <w:fldChar w:fldCharType="end"/>
          </w:r>
          <w:r w:rsidRPr="00167D97">
            <w:rPr>
              <w:sz w:val="16"/>
              <w:szCs w:val="16"/>
            </w:rPr>
            <w:br/>
            <w:t xml:space="preserve">Template Version: </w:t>
          </w:r>
          <w:r w:rsidRPr="00167D97" w:rsidR="003354DA">
            <w:rPr>
              <w:sz w:val="16"/>
              <w:szCs w:val="16"/>
            </w:rPr>
            <w:fldChar w:fldCharType="begin"/>
          </w:r>
          <w:r w:rsidRPr="00167D97" w:rsidR="003354DA">
            <w:rPr>
              <w:sz w:val="16"/>
              <w:szCs w:val="16"/>
            </w:rPr>
            <w:instrText xml:space="preserve"> DOCPROPERTY  Version  \* MERGEFORMAT </w:instrText>
          </w:r>
          <w:r w:rsidRPr="00167D97" w:rsidR="003354DA">
            <w:rPr>
              <w:sz w:val="16"/>
              <w:szCs w:val="16"/>
            </w:rPr>
            <w:fldChar w:fldCharType="separate"/>
          </w:r>
          <w:r w:rsidRPr="00167D97" w:rsidR="003354DA">
            <w:rPr>
              <w:sz w:val="16"/>
              <w:szCs w:val="16"/>
            </w:rPr>
            <w:t>2</w:t>
          </w:r>
          <w:r w:rsidRPr="00167D97" w:rsidR="003354DA">
            <w:rPr>
              <w:sz w:val="16"/>
              <w:szCs w:val="16"/>
            </w:rPr>
            <w:fldChar w:fldCharType="end"/>
          </w:r>
        </w:p>
        <w:p w:rsidR="00667273" w:rsidRPr="00167D97" w:rsidP="00667273" w14:paraId="040C76B1" w14:textId="77777777">
          <w:pPr>
            <w:pStyle w:val="HeaderandFooter"/>
            <w:ind w:right="-176"/>
            <w:jc w:val="left"/>
            <w:rPr>
              <w:sz w:val="16"/>
              <w:szCs w:val="16"/>
            </w:rPr>
          </w:pPr>
        </w:p>
        <w:p w:rsidR="00667273" w:rsidRPr="00167D97" w:rsidP="00667273" w14:paraId="6D321DB2" w14:textId="77777777">
          <w:pPr>
            <w:pStyle w:val="HeaderandFooter"/>
            <w:ind w:right="-176"/>
            <w:jc w:val="left"/>
            <w:rPr>
              <w:sz w:val="16"/>
              <w:szCs w:val="16"/>
            </w:rPr>
          </w:pPr>
        </w:p>
        <w:p w:rsidR="00667273" w:rsidRPr="00167D97" w:rsidP="00667273" w14:paraId="36AA14C0" w14:textId="77777777">
          <w:pPr>
            <w:pStyle w:val="HeaderandFooter"/>
            <w:ind w:right="-176"/>
            <w:jc w:val="left"/>
            <w:rPr>
              <w:sz w:val="16"/>
              <w:szCs w:val="16"/>
            </w:rPr>
          </w:pPr>
        </w:p>
      </w:tc>
      <w:tc>
        <w:tcPr>
          <w:tcW w:w="2606" w:type="pct"/>
        </w:tcPr>
        <w:p w:rsidR="00667273" w:rsidRPr="00167D97" w:rsidP="00667273" w14:paraId="35EAD08F" w14:textId="391AD41E">
          <w:pPr>
            <w:pStyle w:val="HeaderandFooter"/>
            <w:jc w:val="center"/>
            <w:rPr>
              <w:sz w:val="16"/>
              <w:szCs w:val="16"/>
            </w:rPr>
          </w:pPr>
          <w:r w:rsidRPr="00167D97">
            <w:rPr>
              <w:sz w:val="16"/>
              <w:szCs w:val="16"/>
            </w:rPr>
            <w:t xml:space="preserve">Philips Information Classification: </w:t>
          </w:r>
          <w:r w:rsidRPr="00167D97" w:rsidR="00AC57F6">
            <w:rPr>
              <w:color w:val="8345BA" w:themeColor="accent6"/>
              <w:sz w:val="16"/>
              <w:szCs w:val="16"/>
            </w:rPr>
            <w:t>Public</w:t>
          </w:r>
        </w:p>
        <w:p w:rsidR="002A7AE8" w:rsidP="00667273" w14:paraId="0C4FCA61" w14:textId="77777777">
          <w:pPr>
            <w:pStyle w:val="HeaderandFooter"/>
            <w:jc w:val="center"/>
            <w:rPr>
              <w:sz w:val="16"/>
              <w:szCs w:val="16"/>
            </w:rPr>
          </w:pPr>
          <w:r w:rsidRPr="00167D97">
            <w:rPr>
              <w:sz w:val="16"/>
              <w:szCs w:val="16"/>
            </w:rPr>
            <w:t>Printed copies are uncontrolled unless authenticated</w:t>
          </w:r>
        </w:p>
        <w:p w:rsidR="00507BB2" w:rsidRPr="00507BB2" w:rsidP="00507BB2" w14:paraId="6C13A934" w14:textId="77777777">
          <w:pPr>
            <w:jc w:val="center"/>
          </w:pPr>
        </w:p>
      </w:tc>
      <w:tc>
        <w:tcPr>
          <w:tcW w:w="1102" w:type="pct"/>
        </w:tcPr>
        <w:p w:rsidR="00667273" w:rsidRPr="00167D97" w:rsidP="00667273" w14:paraId="494F120C" w14:textId="77777777">
          <w:pPr>
            <w:pStyle w:val="HeaderandFooter"/>
            <w:rPr>
              <w:sz w:val="16"/>
              <w:szCs w:val="16"/>
            </w:rPr>
          </w:pPr>
          <w:r w:rsidRPr="00167D97">
            <w:rPr>
              <w:sz w:val="16"/>
              <w:szCs w:val="16"/>
            </w:rPr>
            <w:t xml:space="preserve">Page </w:t>
          </w:r>
          <w:r w:rsidRPr="00167D97">
            <w:rPr>
              <w:sz w:val="16"/>
              <w:szCs w:val="16"/>
            </w:rPr>
            <w:fldChar w:fldCharType="begin"/>
          </w:r>
          <w:r w:rsidRPr="00167D97">
            <w:rPr>
              <w:sz w:val="16"/>
              <w:szCs w:val="16"/>
            </w:rPr>
            <w:instrText xml:space="preserve"> PAGE  \* Arabic  \* MERGEFORMAT </w:instrText>
          </w:r>
          <w:r w:rsidRPr="00167D97">
            <w:rPr>
              <w:sz w:val="16"/>
              <w:szCs w:val="16"/>
            </w:rPr>
            <w:fldChar w:fldCharType="separate"/>
          </w:r>
          <w:r w:rsidRPr="00167D97">
            <w:rPr>
              <w:rFonts w:asciiTheme="minorHAnsi" w:hAnsiTheme="minorHAnsi" w:cs="Calibri"/>
              <w:sz w:val="16"/>
              <w:szCs w:val="16"/>
              <w:lang w:val="en-US" w:eastAsia="en-US" w:bidi="ar-SA"/>
            </w:rPr>
            <w:t>63</w:t>
          </w:r>
          <w:r w:rsidRPr="00167D97">
            <w:rPr>
              <w:sz w:val="16"/>
              <w:szCs w:val="16"/>
            </w:rPr>
            <w:fldChar w:fldCharType="end"/>
          </w:r>
          <w:r w:rsidRPr="00167D97">
            <w:rPr>
              <w:sz w:val="16"/>
              <w:szCs w:val="16"/>
            </w:rPr>
            <w:t xml:space="preserve"> of </w:t>
          </w:r>
          <w:r w:rsidRPr="00167D97">
            <w:rPr>
              <w:sz w:val="16"/>
              <w:szCs w:val="16"/>
            </w:rPr>
            <w:fldChar w:fldCharType="begin"/>
          </w:r>
          <w:r w:rsidRPr="00167D97">
            <w:rPr>
              <w:sz w:val="16"/>
              <w:szCs w:val="16"/>
            </w:rPr>
            <w:instrText xml:space="preserve"> NUMPAGES  \* Arabic  \* MERGEFORMAT </w:instrText>
          </w:r>
          <w:r w:rsidRPr="00167D97">
            <w:rPr>
              <w:sz w:val="16"/>
              <w:szCs w:val="16"/>
            </w:rPr>
            <w:fldChar w:fldCharType="separate"/>
          </w:r>
          <w:r w:rsidRPr="00167D97">
            <w:rPr>
              <w:rFonts w:asciiTheme="minorHAnsi" w:hAnsiTheme="minorHAnsi" w:cs="Calibri"/>
              <w:sz w:val="16"/>
              <w:szCs w:val="16"/>
              <w:lang w:val="en-US" w:eastAsia="en-US" w:bidi="ar-SA"/>
            </w:rPr>
            <w:t>63</w:t>
          </w:r>
          <w:r w:rsidRPr="00167D97">
            <w:rPr>
              <w:sz w:val="16"/>
              <w:szCs w:val="16"/>
            </w:rPr>
            <w:fldChar w:fldCharType="end"/>
          </w:r>
        </w:p>
        <w:p w:rsidR="00667273" w:rsidRPr="00167D97" w:rsidP="00667273" w14:paraId="79742E66" w14:textId="77777777">
          <w:pPr>
            <w:pStyle w:val="HeaderandFooter"/>
            <w:rPr>
              <w:sz w:val="16"/>
              <w:szCs w:val="16"/>
            </w:rPr>
          </w:pPr>
        </w:p>
      </w:tc>
    </w:tr>
  </w:tbl>
  <w:p w:rsidR="00734EF1" w14:paraId="18171EB2" w14:textId="77777777">
    <w:r w:rsidRPr="00667273">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50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346"/>
      <w:gridCol w:w="4765"/>
      <w:gridCol w:w="2067"/>
    </w:tblGrid>
    <w:tr w14:paraId="39B90FBF" w14:textId="77777777" w:rsidTr="00040B33">
      <w:tblPrEx>
        <w:tblW w:w="5051" w:type="pct"/>
        <w:tblLook w:val="04A0"/>
      </w:tblPrEx>
      <w:trPr>
        <w:trHeight w:val="485"/>
      </w:trPr>
      <w:tc>
        <w:tcPr>
          <w:tcW w:w="1278" w:type="pct"/>
        </w:tcPr>
        <w:p w:rsidR="00C11856" w:rsidP="00331C38" w14:paraId="693A62BF" w14:textId="21F7091B">
          <w:pPr>
            <w:pStyle w:val="HeaderandFooter"/>
            <w:ind w:right="-176"/>
            <w:jc w:val="left"/>
            <w:rPr>
              <w:sz w:val="16"/>
              <w:szCs w:val="16"/>
            </w:rPr>
          </w:pPr>
          <w:r>
            <w:rPr>
              <w:sz w:val="16"/>
              <w:szCs w:val="16"/>
            </w:rPr>
            <w:t xml:space="preserve">Record ID: </w:t>
          </w:r>
          <w:r w:rsidRPr="00C11856">
            <w:rPr>
              <w:sz w:val="16"/>
              <w:szCs w:val="16"/>
            </w:rPr>
            <w:t>00005313</w:t>
          </w:r>
        </w:p>
        <w:p w:rsidR="00C11856" w:rsidP="00331C38" w14:paraId="6FA33A81" w14:textId="46A6D21F">
          <w:pPr>
            <w:pStyle w:val="HeaderandFooter"/>
            <w:ind w:right="-176"/>
            <w:jc w:val="left"/>
            <w:rPr>
              <w:sz w:val="16"/>
              <w:szCs w:val="16"/>
            </w:rPr>
          </w:pPr>
          <w:r>
            <w:rPr>
              <w:sz w:val="16"/>
              <w:szCs w:val="16"/>
            </w:rPr>
            <w:t>Record Version: 2</w:t>
          </w:r>
        </w:p>
        <w:p w:rsidR="00331C38" w:rsidRPr="0092710F" w:rsidP="00331C38" w14:paraId="43F48C8A" w14:textId="78AF141B">
          <w:pPr>
            <w:pStyle w:val="HeaderandFooter"/>
            <w:ind w:right="-176"/>
            <w:jc w:val="left"/>
            <w:rPr>
              <w:sz w:val="16"/>
              <w:szCs w:val="16"/>
            </w:rPr>
          </w:pPr>
          <w:r w:rsidRPr="0092710F">
            <w:rPr>
              <w:sz w:val="16"/>
              <w:szCs w:val="16"/>
            </w:rPr>
            <w:t>Template ID</w:t>
          </w:r>
          <w:r w:rsidRPr="0092710F" w:rsidR="00484D6F">
            <w:rPr>
              <w:sz w:val="16"/>
              <w:szCs w:val="16"/>
            </w:rPr>
            <w:t xml:space="preserve">: </w:t>
          </w:r>
          <w:r w:rsidRPr="0092710F" w:rsidR="003354DA">
            <w:rPr>
              <w:sz w:val="16"/>
              <w:szCs w:val="16"/>
            </w:rPr>
            <w:fldChar w:fldCharType="begin"/>
          </w:r>
          <w:r w:rsidRPr="0092710F" w:rsidR="003354DA">
            <w:rPr>
              <w:sz w:val="16"/>
              <w:szCs w:val="16"/>
            </w:rPr>
            <w:instrText xml:space="preserve"> DOCPROPERTY  "Document Id"  \* MERGEFORMAT </w:instrText>
          </w:r>
          <w:r w:rsidRPr="0092710F" w:rsidR="003354DA">
            <w:rPr>
              <w:sz w:val="16"/>
              <w:szCs w:val="16"/>
            </w:rPr>
            <w:fldChar w:fldCharType="separate"/>
          </w:r>
          <w:r w:rsidRPr="0092710F" w:rsidR="00DB6899">
            <w:rPr>
              <w:sz w:val="16"/>
              <w:szCs w:val="16"/>
            </w:rPr>
            <w:t>00005313</w:t>
          </w:r>
          <w:r w:rsidRPr="0092710F" w:rsidR="003354DA">
            <w:rPr>
              <w:sz w:val="16"/>
              <w:szCs w:val="16"/>
            </w:rPr>
            <w:fldChar w:fldCharType="end"/>
          </w:r>
          <w:r w:rsidRPr="0092710F">
            <w:rPr>
              <w:sz w:val="16"/>
              <w:szCs w:val="16"/>
            </w:rPr>
            <w:br/>
            <w:t>Template Version:</w:t>
          </w:r>
          <w:r w:rsidRPr="0092710F" w:rsidR="00484D6F">
            <w:rPr>
              <w:sz w:val="16"/>
              <w:szCs w:val="16"/>
            </w:rPr>
            <w:t xml:space="preserve"> </w:t>
          </w:r>
          <w:r w:rsidRPr="0092710F" w:rsidR="003354DA">
            <w:rPr>
              <w:sz w:val="16"/>
              <w:szCs w:val="16"/>
            </w:rPr>
            <w:fldChar w:fldCharType="begin"/>
          </w:r>
          <w:r w:rsidRPr="0092710F" w:rsidR="003354DA">
            <w:rPr>
              <w:sz w:val="16"/>
              <w:szCs w:val="16"/>
            </w:rPr>
            <w:instrText xml:space="preserve"> DOCPROPERTY  Version  \* MERGEFORMAT </w:instrText>
          </w:r>
          <w:r w:rsidRPr="0092710F" w:rsidR="003354DA">
            <w:rPr>
              <w:sz w:val="16"/>
              <w:szCs w:val="16"/>
            </w:rPr>
            <w:fldChar w:fldCharType="separate"/>
          </w:r>
          <w:r w:rsidRPr="0092710F" w:rsidR="003354DA">
            <w:rPr>
              <w:sz w:val="16"/>
              <w:szCs w:val="16"/>
            </w:rPr>
            <w:t>2</w:t>
          </w:r>
          <w:r w:rsidRPr="0092710F" w:rsidR="003354DA">
            <w:rPr>
              <w:sz w:val="16"/>
              <w:szCs w:val="16"/>
            </w:rPr>
            <w:fldChar w:fldCharType="end"/>
          </w:r>
        </w:p>
        <w:p w:rsidR="00C4303E" w:rsidRPr="0092710F" w:rsidP="00331C38" w14:paraId="17C0756F" w14:textId="77777777">
          <w:pPr>
            <w:pStyle w:val="HeaderandFooter"/>
            <w:ind w:right="-176"/>
            <w:jc w:val="left"/>
            <w:rPr>
              <w:sz w:val="16"/>
              <w:szCs w:val="16"/>
            </w:rPr>
          </w:pPr>
        </w:p>
        <w:p w:rsidR="00013D03" w:rsidRPr="0092710F" w:rsidP="00331C38" w14:paraId="4D65DAFF" w14:textId="77777777">
          <w:pPr>
            <w:pStyle w:val="HeaderandFooter"/>
            <w:ind w:right="-176"/>
            <w:jc w:val="left"/>
            <w:rPr>
              <w:sz w:val="16"/>
              <w:szCs w:val="16"/>
            </w:rPr>
          </w:pPr>
        </w:p>
        <w:p w:rsidR="008D6EA0" w:rsidRPr="0092710F" w:rsidP="00331C38" w14:paraId="578F40E7" w14:textId="77777777">
          <w:pPr>
            <w:pStyle w:val="HeaderandFooter"/>
            <w:ind w:right="-176"/>
            <w:jc w:val="left"/>
            <w:rPr>
              <w:sz w:val="16"/>
              <w:szCs w:val="16"/>
            </w:rPr>
          </w:pPr>
        </w:p>
      </w:tc>
      <w:tc>
        <w:tcPr>
          <w:tcW w:w="2596" w:type="pct"/>
        </w:tcPr>
        <w:p w:rsidR="00AC57F6" w:rsidRPr="0092710F" w:rsidP="00507BB2" w14:paraId="2DB9B6B6" w14:textId="3B1B14F9">
          <w:pPr>
            <w:pStyle w:val="HeaderandFooter"/>
            <w:jc w:val="center"/>
            <w:rPr>
              <w:sz w:val="16"/>
              <w:szCs w:val="16"/>
            </w:rPr>
          </w:pPr>
          <w:r w:rsidRPr="0092710F">
            <w:rPr>
              <w:sz w:val="16"/>
              <w:szCs w:val="16"/>
            </w:rPr>
            <w:t xml:space="preserve">Philips Information Classification: </w:t>
          </w:r>
          <w:r w:rsidRPr="0092710F">
            <w:rPr>
              <w:color w:val="8345BA" w:themeColor="accent6"/>
              <w:sz w:val="16"/>
              <w:szCs w:val="16"/>
            </w:rPr>
            <w:t>&lt;Public&gt;</w:t>
          </w:r>
        </w:p>
        <w:p w:rsidR="00331C38" w:rsidP="00507BB2" w14:paraId="48A320F5" w14:textId="77777777">
          <w:pPr>
            <w:pStyle w:val="HeaderandFooter"/>
            <w:jc w:val="center"/>
            <w:rPr>
              <w:sz w:val="16"/>
              <w:szCs w:val="16"/>
            </w:rPr>
          </w:pPr>
          <w:r w:rsidRPr="0092710F">
            <w:rPr>
              <w:sz w:val="16"/>
              <w:szCs w:val="16"/>
            </w:rPr>
            <w:t>Printed copies are uncontrolled unless authenticated</w:t>
          </w:r>
        </w:p>
        <w:p w:rsidR="00E82CFF" w:rsidRPr="0092710F" w:rsidP="00507BB2" w14:paraId="353443BA" w14:textId="77777777">
          <w:pPr>
            <w:pStyle w:val="HeaderandFooter"/>
            <w:jc w:val="center"/>
            <w:rPr>
              <w:sz w:val="16"/>
              <w:szCs w:val="16"/>
            </w:rPr>
          </w:pPr>
        </w:p>
        <w:p w:rsidR="00AC57F6" w:rsidP="00AC57F6" w14:paraId="3116FF8D" w14:textId="77777777">
          <w:pPr>
            <w:pStyle w:val="HeaderandFooter"/>
            <w:jc w:val="center"/>
            <w:rPr>
              <w:sz w:val="16"/>
              <w:szCs w:val="16"/>
            </w:rPr>
          </w:pPr>
        </w:p>
        <w:p w:rsidR="0092710F" w:rsidRPr="0092710F" w:rsidP="00AC57F6" w14:paraId="5A569AEA" w14:textId="77777777">
          <w:pPr>
            <w:pStyle w:val="HeaderandFooter"/>
            <w:jc w:val="center"/>
            <w:rPr>
              <w:sz w:val="16"/>
              <w:szCs w:val="16"/>
            </w:rPr>
          </w:pPr>
        </w:p>
        <w:p w:rsidR="00AC57F6" w:rsidRPr="0092710F" w:rsidP="00AC57F6" w14:paraId="4781E2EA" w14:textId="77777777">
          <w:pPr>
            <w:pStyle w:val="HeaderandFooter"/>
            <w:jc w:val="center"/>
            <w:rPr>
              <w:sz w:val="16"/>
              <w:szCs w:val="16"/>
            </w:rPr>
          </w:pPr>
        </w:p>
        <w:p w:rsidR="00AC57F6" w:rsidRPr="0092710F" w:rsidP="00AC57F6" w14:paraId="5CEB1807" w14:textId="77777777">
          <w:pPr>
            <w:pStyle w:val="HeaderandFooter"/>
            <w:jc w:val="center"/>
            <w:rPr>
              <w:sz w:val="16"/>
              <w:szCs w:val="16"/>
            </w:rPr>
          </w:pPr>
        </w:p>
      </w:tc>
      <w:tc>
        <w:tcPr>
          <w:tcW w:w="1127" w:type="pct"/>
        </w:tcPr>
        <w:p w:rsidR="00331C38" w:rsidRPr="0092710F" w:rsidP="00040B33" w14:paraId="4205A966" w14:textId="77777777">
          <w:pPr>
            <w:pStyle w:val="HeaderandFooter"/>
            <w:ind w:left="275" w:hanging="275"/>
            <w:rPr>
              <w:sz w:val="16"/>
              <w:szCs w:val="16"/>
            </w:rPr>
          </w:pPr>
          <w:r w:rsidRPr="0092710F">
            <w:rPr>
              <w:sz w:val="16"/>
              <w:szCs w:val="16"/>
            </w:rPr>
            <w:t xml:space="preserve">Page </w:t>
          </w:r>
          <w:r w:rsidRPr="0092710F">
            <w:rPr>
              <w:sz w:val="16"/>
              <w:szCs w:val="16"/>
            </w:rPr>
            <w:fldChar w:fldCharType="begin"/>
          </w:r>
          <w:r w:rsidRPr="0092710F">
            <w:rPr>
              <w:sz w:val="16"/>
              <w:szCs w:val="16"/>
            </w:rPr>
            <w:instrText xml:space="preserve"> PAGE  \* Arabic  \* MERGEFORMAT </w:instrText>
          </w:r>
          <w:r w:rsidRPr="0092710F">
            <w:rPr>
              <w:sz w:val="16"/>
              <w:szCs w:val="16"/>
            </w:rPr>
            <w:fldChar w:fldCharType="separate"/>
          </w:r>
          <w:r w:rsidRPr="0092710F">
            <w:rPr>
              <w:rFonts w:asciiTheme="minorHAnsi" w:hAnsiTheme="minorHAnsi" w:cs="Calibri"/>
              <w:sz w:val="16"/>
              <w:szCs w:val="16"/>
              <w:lang w:val="en-US" w:eastAsia="en-US" w:bidi="ar-SA"/>
            </w:rPr>
            <w:t>1</w:t>
          </w:r>
          <w:r w:rsidRPr="0092710F">
            <w:rPr>
              <w:sz w:val="16"/>
              <w:szCs w:val="16"/>
            </w:rPr>
            <w:fldChar w:fldCharType="end"/>
          </w:r>
          <w:r w:rsidRPr="0092710F">
            <w:rPr>
              <w:sz w:val="16"/>
              <w:szCs w:val="16"/>
            </w:rPr>
            <w:t xml:space="preserve"> of </w:t>
          </w:r>
          <w:r w:rsidRPr="0092710F">
            <w:rPr>
              <w:sz w:val="16"/>
              <w:szCs w:val="16"/>
            </w:rPr>
            <w:fldChar w:fldCharType="begin"/>
          </w:r>
          <w:r w:rsidRPr="0092710F">
            <w:rPr>
              <w:sz w:val="16"/>
              <w:szCs w:val="16"/>
            </w:rPr>
            <w:instrText xml:space="preserve"> NUMPAGES  \* Arabic  \* MERGEFORMAT </w:instrText>
          </w:r>
          <w:r w:rsidRPr="0092710F">
            <w:rPr>
              <w:sz w:val="16"/>
              <w:szCs w:val="16"/>
            </w:rPr>
            <w:fldChar w:fldCharType="separate"/>
          </w:r>
          <w:r w:rsidRPr="0092710F">
            <w:rPr>
              <w:rFonts w:asciiTheme="minorHAnsi" w:hAnsiTheme="minorHAnsi" w:cs="Calibri"/>
              <w:sz w:val="16"/>
              <w:szCs w:val="16"/>
              <w:lang w:val="en-US" w:eastAsia="en-US" w:bidi="ar-SA"/>
            </w:rPr>
            <w:t>63</w:t>
          </w:r>
          <w:r w:rsidRPr="0092710F">
            <w:rPr>
              <w:sz w:val="16"/>
              <w:szCs w:val="16"/>
            </w:rPr>
            <w:fldChar w:fldCharType="end"/>
          </w:r>
        </w:p>
        <w:p w:rsidR="00331C38" w:rsidRPr="0092710F" w:rsidP="00CE7A9B" w14:paraId="6E407443" w14:textId="77777777">
          <w:pPr>
            <w:pStyle w:val="HeaderandFooter"/>
            <w:ind w:right="-4"/>
            <w:rPr>
              <w:sz w:val="16"/>
              <w:szCs w:val="16"/>
            </w:rPr>
          </w:pPr>
        </w:p>
      </w:tc>
    </w:tr>
  </w:tbl>
  <w:p w:rsidR="005D0415" w14:paraId="0B9DF153" w14:textId="77777777">
    <w:pPr>
      <w:spacing w:line="240" w:lineRule="exact"/>
      <w:rPr>
        <w:sz w:val="2"/>
        <w:lang w:val="en-G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18A" w:rsidP="0080718A" w14:paraId="1F2EF129" w14:textId="77777777">
    <w:pPr>
      <w:pStyle w:val="Header"/>
      <w:jc w:val="right"/>
      <w:rPr>
        <w:highlight w:val="yellow"/>
      </w:rPr>
    </w:pPr>
  </w:p>
  <w:p w:rsidR="00F56BF7" w:rsidP="0080718A" w14:paraId="66E68404" w14:textId="77777777">
    <w:pPr>
      <w:pStyle w:val="Header"/>
      <w:jc w:val="right"/>
      <w:rPr>
        <w:sz w:val="18"/>
        <w:szCs w:val="16"/>
        <w:highlight w:val="yellow"/>
      </w:rPr>
    </w:pPr>
  </w:p>
  <w:p w:rsidR="0080718A" w:rsidRPr="000D65A0" w:rsidP="006B1560" w14:paraId="34636A4A" w14:textId="76EE9581">
    <w:pPr>
      <w:pStyle w:val="Header"/>
      <w:tabs>
        <w:tab w:val="left" w:pos="430"/>
      </w:tabs>
      <w:jc w:val="both"/>
      <w:rPr>
        <w:sz w:val="18"/>
        <w:szCs w:val="16"/>
      </w:rPr>
    </w:pPr>
    <w:r w:rsidRPr="00F56BF7">
      <w:rPr>
        <w:noProof/>
      </w:rPr>
      <w:drawing>
        <wp:inline distT="0" distB="0" distL="0" distR="0">
          <wp:extent cx="895350" cy="158750"/>
          <wp:effectExtent l="0" t="0" r="0" b="0"/>
          <wp:docPr id="5" name="Picture 30" descr="Description: Description: Description: Description: Description: Description: PHGMCWORDMARK2008_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0" descr="Description: Description: Description: Description: Description: Description: PHGMCWORDMARK2008_C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350" cy="158750"/>
                  </a:xfrm>
                  <a:prstGeom prst="rect">
                    <a:avLst/>
                  </a:prstGeom>
                  <a:noFill/>
                  <a:ln>
                    <a:noFill/>
                  </a:ln>
                </pic:spPr>
              </pic:pic>
            </a:graphicData>
          </a:graphic>
        </wp:inline>
      </w:drawing>
    </w:r>
    <w:r w:rsidRPr="006B1560">
      <w:rPr>
        <w:sz w:val="18"/>
        <w:szCs w:val="16"/>
      </w:rPr>
      <w:tab/>
    </w:r>
    <w:r w:rsidRPr="006B1560">
      <w:rPr>
        <w:sz w:val="18"/>
        <w:szCs w:val="16"/>
      </w:rPr>
      <w:tab/>
    </w:r>
  </w:p>
  <w:p w:rsidR="0080718A" w:rsidRPr="00EE24EC" w14:paraId="64F174B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ADE" w:rsidP="00747949" w14:paraId="2CEFB022" w14:textId="77777777">
    <w:pPr>
      <w:pStyle w:val="Header"/>
      <w:jc w:val="right"/>
    </w:pPr>
  </w:p>
  <w:p w:rsidR="00F56BF7" w:rsidP="00F56BF7" w14:paraId="0244CCC4" w14:textId="77777777">
    <w:pPr>
      <w:pStyle w:val="Header"/>
    </w:pPr>
  </w:p>
  <w:p w:rsidR="00747949" w:rsidP="00F56BF7" w14:paraId="24702876" w14:textId="6EA5EF5F">
    <w:pPr>
      <w:pStyle w:val="Header"/>
      <w:jc w:val="right"/>
      <w:rPr>
        <w:sz w:val="18"/>
        <w:szCs w:val="18"/>
      </w:rPr>
    </w:pPr>
    <w:r w:rsidRPr="00D840AF">
      <w:rPr>
        <w:noProof/>
      </w:rPr>
      <w:drawing>
        <wp:inline distT="0" distB="0" distL="0" distR="0">
          <wp:extent cx="895350" cy="158750"/>
          <wp:effectExtent l="0" t="0" r="0" b="0"/>
          <wp:docPr id="20" name="Picture 30" descr="Description: Description: Description: Description: Description: Description: PHGMCWORDMARK2008_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0" descr="Description: Description: Description: Description: Description: Description: PHGMCWORDMARK2008_C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350" cy="158750"/>
                  </a:xfrm>
                  <a:prstGeom prst="rect">
                    <a:avLst/>
                  </a:prstGeom>
                  <a:noFill/>
                  <a:ln>
                    <a:noFill/>
                  </a:ln>
                </pic:spPr>
              </pic:pic>
            </a:graphicData>
          </a:graphic>
        </wp:inline>
      </w:drawing>
    </w:r>
    <w:r>
      <w:tab/>
    </w:r>
    <w:r>
      <w:tab/>
    </w:r>
  </w:p>
  <w:p w:rsidR="00A979F3" w:rsidRPr="00C61A36" w:rsidP="00747949" w14:paraId="7DCD059E" w14:textId="77777777">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F254EC"/>
    <w:multiLevelType w:val="hybridMultilevel"/>
    <w:tmpl w:val="A8AA0734"/>
    <w:lvl w:ilvl="0">
      <w:start w:val="1"/>
      <w:numFmt w:val="bullet"/>
      <w:lvlText w:val=""/>
      <w:lvlJc w:val="left"/>
      <w:pPr>
        <w:ind w:left="1296" w:hanging="360"/>
      </w:pPr>
      <w:rPr>
        <w:rFonts w:ascii="Symbol" w:hAnsi="Symbol" w:hint="default"/>
        <w:b/>
        <w:bCs/>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1">
    <w:nsid w:val="0DE77879"/>
    <w:multiLevelType w:val="multilevel"/>
    <w:tmpl w:val="E24E5E12"/>
    <w:styleLink w:val="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4C87F75"/>
    <w:multiLevelType w:val="multilevel"/>
    <w:tmpl w:val="0C9886C8"/>
    <w:styleLink w:val="CurrentList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E573009"/>
    <w:multiLevelType w:val="hybridMultilevel"/>
    <w:tmpl w:val="E6DAF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4452D02"/>
    <w:multiLevelType w:val="hybridMultilevel"/>
    <w:tmpl w:val="B902F9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E51C6E"/>
    <w:multiLevelType w:val="multilevel"/>
    <w:tmpl w:val="574087B6"/>
    <w:styleLink w:val="Philipsbullets"/>
    <w:lvl w:ilvl="0">
      <w:start w:val="1"/>
      <w:numFmt w:val="bullet"/>
      <w:pStyle w:val="ListParagraph"/>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6">
    <w:nsid w:val="3DA8288A"/>
    <w:multiLevelType w:val="multilevel"/>
    <w:tmpl w:val="A63E2154"/>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360" w:firstLine="0"/>
      </w:pPr>
      <w:rPr>
        <w:rFonts w:hint="default"/>
        <w:color w:val="0070C0"/>
      </w:rPr>
    </w:lvl>
    <w:lvl w:ilvl="2">
      <w:start w:val="1"/>
      <w:numFmt w:val="decimal"/>
      <w:pStyle w:val="Heading3"/>
      <w:isLgl/>
      <w:lvlText w:val="%1.%2.%3"/>
      <w:lvlJc w:val="left"/>
      <w:pPr>
        <w:ind w:left="1080" w:hanging="720"/>
      </w:pPr>
      <w:rPr>
        <w:rFonts w:hint="default"/>
        <w:b w:val="0"/>
        <w:bCs/>
        <w:i w:val="0"/>
        <w:iCs/>
        <w:color w:val="auto"/>
      </w:rPr>
    </w:lvl>
    <w:lvl w:ilvl="3">
      <w:start w:val="1"/>
      <w:numFmt w:val="decimal"/>
      <w:pStyle w:val="Heading4"/>
      <w:isLgl/>
      <w:lvlText w:val="%1.%2.%3.%4"/>
      <w:lvlJc w:val="left"/>
      <w:pPr>
        <w:ind w:left="1080" w:hanging="720"/>
      </w:pPr>
      <w:rPr>
        <w:b w:val="0"/>
        <w:bCs w:val="0"/>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E742048"/>
    <w:multiLevelType w:val="multilevel"/>
    <w:tmpl w:val="D0BE7F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468364D4"/>
    <w:multiLevelType w:val="hybridMultilevel"/>
    <w:tmpl w:val="7E029556"/>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6BF55EA"/>
    <w:multiLevelType w:val="hybridMultilevel"/>
    <w:tmpl w:val="8F2AC6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DAD1BB6"/>
    <w:multiLevelType w:val="hybridMultilevel"/>
    <w:tmpl w:val="C44C327E"/>
    <w:lvl w:ilvl="0">
      <w:start w:val="1"/>
      <w:numFmt w:val="decimal"/>
      <w:lvlText w:val="(%1)"/>
      <w:lvlJc w:val="left"/>
      <w:pPr>
        <w:ind w:left="3456"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FB809E0"/>
    <w:multiLevelType w:val="hybridMultilevel"/>
    <w:tmpl w:val="0FDA9D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E3700ED"/>
    <w:multiLevelType w:val="multilevel"/>
    <w:tmpl w:val="574087B6"/>
    <w:numStyleLink w:val="Philipsbullets"/>
  </w:abstractNum>
  <w:abstractNum w:abstractNumId="13">
    <w:nsid w:val="6FB9491E"/>
    <w:multiLevelType w:val="hybridMultilevel"/>
    <w:tmpl w:val="741CBD5E"/>
    <w:lvl w:ilvl="0">
      <w:start w:val="1"/>
      <w:numFmt w:val="lowerLetter"/>
      <w:pStyle w:val="Normal5Indent"/>
      <w:lvlText w:val="%1)"/>
      <w:lvlJc w:val="left"/>
      <w:pPr>
        <w:ind w:left="1080" w:hanging="360"/>
      </w:pPr>
      <w:rPr>
        <w:rFonts w:hint="default"/>
        <w:b w:val="0"/>
        <w:bCs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757671C8"/>
    <w:multiLevelType w:val="multilevel"/>
    <w:tmpl w:val="B1E4E9D2"/>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776" w:hanging="36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num w:numId="1" w16cid:durableId="941181929">
    <w:abstractNumId w:val="5"/>
  </w:num>
  <w:num w:numId="2" w16cid:durableId="77100984">
    <w:abstractNumId w:val="12"/>
  </w:num>
  <w:num w:numId="3" w16cid:durableId="132141375">
    <w:abstractNumId w:val="1"/>
  </w:num>
  <w:num w:numId="4" w16cid:durableId="1979451638">
    <w:abstractNumId w:val="6"/>
  </w:num>
  <w:num w:numId="5" w16cid:durableId="564881394">
    <w:abstractNumId w:val="7"/>
  </w:num>
  <w:num w:numId="6" w16cid:durableId="454249795">
    <w:abstractNumId w:val="0"/>
  </w:num>
  <w:num w:numId="7" w16cid:durableId="195045475">
    <w:abstractNumId w:val="2"/>
  </w:num>
  <w:num w:numId="8" w16cid:durableId="1644656745">
    <w:abstractNumId w:val="3"/>
  </w:num>
  <w:num w:numId="9" w16cid:durableId="1104880153">
    <w:abstractNumId w:val="10"/>
  </w:num>
  <w:num w:numId="10" w16cid:durableId="190146509">
    <w:abstractNumId w:val="8"/>
  </w:num>
  <w:num w:numId="11" w16cid:durableId="940837970">
    <w:abstractNumId w:val="13"/>
  </w:num>
  <w:num w:numId="12" w16cid:durableId="1736393230">
    <w:abstractNumId w:val="14"/>
  </w:num>
  <w:num w:numId="13" w16cid:durableId="413357173">
    <w:abstractNumId w:val="13"/>
    <w:lvlOverride w:ilvl="0">
      <w:startOverride w:val="1"/>
    </w:lvlOverride>
  </w:num>
  <w:num w:numId="14" w16cid:durableId="864059067">
    <w:abstractNumId w:val="4"/>
  </w:num>
  <w:num w:numId="15" w16cid:durableId="1931624553">
    <w:abstractNumId w:val="9"/>
  </w:num>
  <w:num w:numId="16" w16cid:durableId="213659086">
    <w:abstractNumId w:val="13"/>
    <w:lvlOverride w:ilvl="0">
      <w:startOverride w:val="1"/>
    </w:lvlOverride>
  </w:num>
  <w:num w:numId="17" w16cid:durableId="898631006">
    <w:abstractNumId w:val="13"/>
    <w:lvlOverride w:ilvl="0">
      <w:startOverride w:val="1"/>
    </w:lvlOverride>
  </w:num>
  <w:num w:numId="18" w16cid:durableId="545723284">
    <w:abstractNumId w:val="13"/>
    <w:lvlOverride w:ilvl="0">
      <w:startOverride w:val="1"/>
    </w:lvlOverride>
  </w:num>
  <w:num w:numId="19" w16cid:durableId="1081179914">
    <w:abstractNumId w:val="13"/>
    <w:lvlOverride w:ilvl="0">
      <w:startOverride w:val="1"/>
    </w:lvlOverride>
  </w:num>
  <w:num w:numId="20" w16cid:durableId="1083835512">
    <w:abstractNumId w:val="13"/>
    <w:lvlOverride w:ilvl="0">
      <w:startOverride w:val="1"/>
    </w:lvlOverride>
  </w:num>
  <w:num w:numId="21" w16cid:durableId="1482775498">
    <w:abstractNumId w:val="13"/>
    <w:lvlOverride w:ilvl="0">
      <w:startOverride w:val="1"/>
    </w:lvlOverride>
  </w:num>
  <w:num w:numId="22" w16cid:durableId="794955461">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gutterAtTop/>
  <w:proofState w:spelling="clean" w:grammar="clean"/>
  <w:attachedTemplate r:id="rId1"/>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defaultTabStop w:val="708"/>
  <w:hyphenationZone w:val="425"/>
  <w:drawingGridHorizontalSpacing w:val="110"/>
  <w:drawingGridVerticalSpacing w:val="163"/>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38"/>
    <w:rsid w:val="000009C3"/>
    <w:rsid w:val="00000F17"/>
    <w:rsid w:val="0000194F"/>
    <w:rsid w:val="000033A6"/>
    <w:rsid w:val="0000447A"/>
    <w:rsid w:val="000069A5"/>
    <w:rsid w:val="00010E7E"/>
    <w:rsid w:val="0001308C"/>
    <w:rsid w:val="00013D03"/>
    <w:rsid w:val="00014F84"/>
    <w:rsid w:val="00022916"/>
    <w:rsid w:val="00022E5E"/>
    <w:rsid w:val="000244D6"/>
    <w:rsid w:val="00025260"/>
    <w:rsid w:val="000260FC"/>
    <w:rsid w:val="00035A19"/>
    <w:rsid w:val="000374DD"/>
    <w:rsid w:val="00040B33"/>
    <w:rsid w:val="00042FE9"/>
    <w:rsid w:val="00047D5C"/>
    <w:rsid w:val="0005151F"/>
    <w:rsid w:val="00052A4B"/>
    <w:rsid w:val="00053345"/>
    <w:rsid w:val="00056E22"/>
    <w:rsid w:val="00063524"/>
    <w:rsid w:val="0006568D"/>
    <w:rsid w:val="00066659"/>
    <w:rsid w:val="00067955"/>
    <w:rsid w:val="00071213"/>
    <w:rsid w:val="0007340A"/>
    <w:rsid w:val="00073B71"/>
    <w:rsid w:val="00077557"/>
    <w:rsid w:val="000776AB"/>
    <w:rsid w:val="00081964"/>
    <w:rsid w:val="000853FA"/>
    <w:rsid w:val="0008606C"/>
    <w:rsid w:val="00091FB2"/>
    <w:rsid w:val="00092369"/>
    <w:rsid w:val="000943AB"/>
    <w:rsid w:val="0009471A"/>
    <w:rsid w:val="000A2DE2"/>
    <w:rsid w:val="000B0F86"/>
    <w:rsid w:val="000B224D"/>
    <w:rsid w:val="000B2B39"/>
    <w:rsid w:val="000B380F"/>
    <w:rsid w:val="000B433D"/>
    <w:rsid w:val="000B7104"/>
    <w:rsid w:val="000B7CB2"/>
    <w:rsid w:val="000C18A7"/>
    <w:rsid w:val="000C2F0C"/>
    <w:rsid w:val="000C3699"/>
    <w:rsid w:val="000C4559"/>
    <w:rsid w:val="000C7708"/>
    <w:rsid w:val="000D016B"/>
    <w:rsid w:val="000D141E"/>
    <w:rsid w:val="000D2E72"/>
    <w:rsid w:val="000D370D"/>
    <w:rsid w:val="000D4B7F"/>
    <w:rsid w:val="000D5EDC"/>
    <w:rsid w:val="000D65A0"/>
    <w:rsid w:val="000E2612"/>
    <w:rsid w:val="000E514C"/>
    <w:rsid w:val="000E6001"/>
    <w:rsid w:val="000E69FB"/>
    <w:rsid w:val="000E7724"/>
    <w:rsid w:val="000F068B"/>
    <w:rsid w:val="000F1773"/>
    <w:rsid w:val="000F2014"/>
    <w:rsid w:val="000F296F"/>
    <w:rsid w:val="000F2F8C"/>
    <w:rsid w:val="000F4196"/>
    <w:rsid w:val="000F42CD"/>
    <w:rsid w:val="000F4E5D"/>
    <w:rsid w:val="000F713C"/>
    <w:rsid w:val="000F74A1"/>
    <w:rsid w:val="00100B4D"/>
    <w:rsid w:val="001013D9"/>
    <w:rsid w:val="00101C7A"/>
    <w:rsid w:val="00101C91"/>
    <w:rsid w:val="00102706"/>
    <w:rsid w:val="00103E5B"/>
    <w:rsid w:val="00105B9D"/>
    <w:rsid w:val="00105C91"/>
    <w:rsid w:val="00106230"/>
    <w:rsid w:val="00106433"/>
    <w:rsid w:val="00110474"/>
    <w:rsid w:val="00111720"/>
    <w:rsid w:val="00112C34"/>
    <w:rsid w:val="00113349"/>
    <w:rsid w:val="00115432"/>
    <w:rsid w:val="00115B02"/>
    <w:rsid w:val="0011723E"/>
    <w:rsid w:val="00117A79"/>
    <w:rsid w:val="00121365"/>
    <w:rsid w:val="00124843"/>
    <w:rsid w:val="00132443"/>
    <w:rsid w:val="00132C13"/>
    <w:rsid w:val="001352EB"/>
    <w:rsid w:val="001410C8"/>
    <w:rsid w:val="00141442"/>
    <w:rsid w:val="00141692"/>
    <w:rsid w:val="00142B16"/>
    <w:rsid w:val="0014569C"/>
    <w:rsid w:val="001515E4"/>
    <w:rsid w:val="00151E02"/>
    <w:rsid w:val="001523EC"/>
    <w:rsid w:val="00152766"/>
    <w:rsid w:val="00153D1F"/>
    <w:rsid w:val="00155539"/>
    <w:rsid w:val="00155D98"/>
    <w:rsid w:val="001569B2"/>
    <w:rsid w:val="00157497"/>
    <w:rsid w:val="00160388"/>
    <w:rsid w:val="00161DB5"/>
    <w:rsid w:val="0016378F"/>
    <w:rsid w:val="00167D97"/>
    <w:rsid w:val="00171669"/>
    <w:rsid w:val="00173DA6"/>
    <w:rsid w:val="001740B4"/>
    <w:rsid w:val="00176325"/>
    <w:rsid w:val="001774EA"/>
    <w:rsid w:val="00177CA7"/>
    <w:rsid w:val="00181B2C"/>
    <w:rsid w:val="00182DD6"/>
    <w:rsid w:val="00183A57"/>
    <w:rsid w:val="00184986"/>
    <w:rsid w:val="00186E41"/>
    <w:rsid w:val="001870B4"/>
    <w:rsid w:val="00187793"/>
    <w:rsid w:val="00190E19"/>
    <w:rsid w:val="00192F3A"/>
    <w:rsid w:val="00195ADF"/>
    <w:rsid w:val="00195C05"/>
    <w:rsid w:val="0019617A"/>
    <w:rsid w:val="001961DF"/>
    <w:rsid w:val="001A0E57"/>
    <w:rsid w:val="001A19B9"/>
    <w:rsid w:val="001A2DE4"/>
    <w:rsid w:val="001B067B"/>
    <w:rsid w:val="001B204A"/>
    <w:rsid w:val="001B3DDF"/>
    <w:rsid w:val="001B40D1"/>
    <w:rsid w:val="001C1303"/>
    <w:rsid w:val="001C1676"/>
    <w:rsid w:val="001C2732"/>
    <w:rsid w:val="001D0684"/>
    <w:rsid w:val="001D342E"/>
    <w:rsid w:val="001D7BB4"/>
    <w:rsid w:val="001D7CFF"/>
    <w:rsid w:val="001E1661"/>
    <w:rsid w:val="001E388F"/>
    <w:rsid w:val="001E4783"/>
    <w:rsid w:val="001E4D0A"/>
    <w:rsid w:val="001E5F4C"/>
    <w:rsid w:val="001E6EC8"/>
    <w:rsid w:val="001F22B0"/>
    <w:rsid w:val="001F49F3"/>
    <w:rsid w:val="001F4F86"/>
    <w:rsid w:val="001F586B"/>
    <w:rsid w:val="001F5C39"/>
    <w:rsid w:val="0020113A"/>
    <w:rsid w:val="00202022"/>
    <w:rsid w:val="00205E8C"/>
    <w:rsid w:val="00206E39"/>
    <w:rsid w:val="00213D44"/>
    <w:rsid w:val="00213FA0"/>
    <w:rsid w:val="00214842"/>
    <w:rsid w:val="00216AAE"/>
    <w:rsid w:val="002174E8"/>
    <w:rsid w:val="002200B8"/>
    <w:rsid w:val="00221DD3"/>
    <w:rsid w:val="00221F73"/>
    <w:rsid w:val="002248F7"/>
    <w:rsid w:val="00225021"/>
    <w:rsid w:val="00226E31"/>
    <w:rsid w:val="00235A9B"/>
    <w:rsid w:val="00235CAC"/>
    <w:rsid w:val="00236A77"/>
    <w:rsid w:val="00240E6F"/>
    <w:rsid w:val="00242321"/>
    <w:rsid w:val="002469B1"/>
    <w:rsid w:val="00247788"/>
    <w:rsid w:val="00251034"/>
    <w:rsid w:val="002519FD"/>
    <w:rsid w:val="00253E83"/>
    <w:rsid w:val="00255825"/>
    <w:rsid w:val="002574E3"/>
    <w:rsid w:val="002576CE"/>
    <w:rsid w:val="00260CD5"/>
    <w:rsid w:val="00264E57"/>
    <w:rsid w:val="00265A9F"/>
    <w:rsid w:val="0026725B"/>
    <w:rsid w:val="0027341D"/>
    <w:rsid w:val="00273D4E"/>
    <w:rsid w:val="00274407"/>
    <w:rsid w:val="00274F7A"/>
    <w:rsid w:val="00281BEA"/>
    <w:rsid w:val="002828B6"/>
    <w:rsid w:val="00282A53"/>
    <w:rsid w:val="00283029"/>
    <w:rsid w:val="00283B0F"/>
    <w:rsid w:val="00283DB7"/>
    <w:rsid w:val="002844F0"/>
    <w:rsid w:val="00286B08"/>
    <w:rsid w:val="00287195"/>
    <w:rsid w:val="002903AA"/>
    <w:rsid w:val="002916C6"/>
    <w:rsid w:val="00292A30"/>
    <w:rsid w:val="00296EDD"/>
    <w:rsid w:val="002A18FC"/>
    <w:rsid w:val="002A4D27"/>
    <w:rsid w:val="002A73D2"/>
    <w:rsid w:val="002A762A"/>
    <w:rsid w:val="002A7AE8"/>
    <w:rsid w:val="002B07DC"/>
    <w:rsid w:val="002B0C6B"/>
    <w:rsid w:val="002B29E3"/>
    <w:rsid w:val="002B46AE"/>
    <w:rsid w:val="002B7E52"/>
    <w:rsid w:val="002C18D5"/>
    <w:rsid w:val="002C3953"/>
    <w:rsid w:val="002C3FD1"/>
    <w:rsid w:val="002D022C"/>
    <w:rsid w:val="002D302D"/>
    <w:rsid w:val="002D465C"/>
    <w:rsid w:val="002D6F26"/>
    <w:rsid w:val="002E2AE1"/>
    <w:rsid w:val="002E43BA"/>
    <w:rsid w:val="002E5225"/>
    <w:rsid w:val="002E653F"/>
    <w:rsid w:val="002E6B79"/>
    <w:rsid w:val="002F1B0E"/>
    <w:rsid w:val="002F4C43"/>
    <w:rsid w:val="002F7FAA"/>
    <w:rsid w:val="0030006A"/>
    <w:rsid w:val="003006BC"/>
    <w:rsid w:val="00301549"/>
    <w:rsid w:val="0030236F"/>
    <w:rsid w:val="00303852"/>
    <w:rsid w:val="0030416D"/>
    <w:rsid w:val="003046E2"/>
    <w:rsid w:val="003054A5"/>
    <w:rsid w:val="0030610A"/>
    <w:rsid w:val="003066D2"/>
    <w:rsid w:val="00306791"/>
    <w:rsid w:val="00314826"/>
    <w:rsid w:val="003150B2"/>
    <w:rsid w:val="0031555A"/>
    <w:rsid w:val="003201E4"/>
    <w:rsid w:val="0032047C"/>
    <w:rsid w:val="00321D12"/>
    <w:rsid w:val="00322DD5"/>
    <w:rsid w:val="00323348"/>
    <w:rsid w:val="0032484E"/>
    <w:rsid w:val="00326367"/>
    <w:rsid w:val="00330372"/>
    <w:rsid w:val="00331C38"/>
    <w:rsid w:val="00332983"/>
    <w:rsid w:val="00332FCF"/>
    <w:rsid w:val="00333813"/>
    <w:rsid w:val="003342B4"/>
    <w:rsid w:val="00334962"/>
    <w:rsid w:val="00334C47"/>
    <w:rsid w:val="003354DA"/>
    <w:rsid w:val="003359EC"/>
    <w:rsid w:val="00336241"/>
    <w:rsid w:val="00341F31"/>
    <w:rsid w:val="00345027"/>
    <w:rsid w:val="00350F6A"/>
    <w:rsid w:val="003531E8"/>
    <w:rsid w:val="00354D34"/>
    <w:rsid w:val="0035650B"/>
    <w:rsid w:val="00356EB3"/>
    <w:rsid w:val="00357EDF"/>
    <w:rsid w:val="00363923"/>
    <w:rsid w:val="00363C0C"/>
    <w:rsid w:val="00367D12"/>
    <w:rsid w:val="00370BB8"/>
    <w:rsid w:val="003720E6"/>
    <w:rsid w:val="0037615F"/>
    <w:rsid w:val="00381F99"/>
    <w:rsid w:val="00383300"/>
    <w:rsid w:val="00391544"/>
    <w:rsid w:val="00392605"/>
    <w:rsid w:val="00393000"/>
    <w:rsid w:val="003B1513"/>
    <w:rsid w:val="003B31DC"/>
    <w:rsid w:val="003B38C7"/>
    <w:rsid w:val="003B472B"/>
    <w:rsid w:val="003B6912"/>
    <w:rsid w:val="003C0934"/>
    <w:rsid w:val="003C578C"/>
    <w:rsid w:val="003C7895"/>
    <w:rsid w:val="003C7BC4"/>
    <w:rsid w:val="003D3041"/>
    <w:rsid w:val="003D6D0C"/>
    <w:rsid w:val="003E1E64"/>
    <w:rsid w:val="003E2DA2"/>
    <w:rsid w:val="003E362B"/>
    <w:rsid w:val="003E696C"/>
    <w:rsid w:val="003E7575"/>
    <w:rsid w:val="003F08D3"/>
    <w:rsid w:val="003F0F7F"/>
    <w:rsid w:val="003F28AF"/>
    <w:rsid w:val="003F3E2E"/>
    <w:rsid w:val="003F6682"/>
    <w:rsid w:val="00400FE4"/>
    <w:rsid w:val="0040355C"/>
    <w:rsid w:val="00405140"/>
    <w:rsid w:val="00410CE3"/>
    <w:rsid w:val="00410F59"/>
    <w:rsid w:val="00412931"/>
    <w:rsid w:val="0041525C"/>
    <w:rsid w:val="0041625A"/>
    <w:rsid w:val="0042090C"/>
    <w:rsid w:val="00421BC4"/>
    <w:rsid w:val="0042335A"/>
    <w:rsid w:val="004274C9"/>
    <w:rsid w:val="00431130"/>
    <w:rsid w:val="00433688"/>
    <w:rsid w:val="004347FA"/>
    <w:rsid w:val="004362B6"/>
    <w:rsid w:val="00437986"/>
    <w:rsid w:val="00440F3D"/>
    <w:rsid w:val="00442FB4"/>
    <w:rsid w:val="004437C4"/>
    <w:rsid w:val="00446601"/>
    <w:rsid w:val="0044687A"/>
    <w:rsid w:val="004469E6"/>
    <w:rsid w:val="004474E2"/>
    <w:rsid w:val="004538EB"/>
    <w:rsid w:val="00456B30"/>
    <w:rsid w:val="00460023"/>
    <w:rsid w:val="00460C33"/>
    <w:rsid w:val="00460C42"/>
    <w:rsid w:val="00463979"/>
    <w:rsid w:val="00464AC9"/>
    <w:rsid w:val="004654C2"/>
    <w:rsid w:val="004671A1"/>
    <w:rsid w:val="00467303"/>
    <w:rsid w:val="0047062D"/>
    <w:rsid w:val="00472A7D"/>
    <w:rsid w:val="00475974"/>
    <w:rsid w:val="00480514"/>
    <w:rsid w:val="00484D6F"/>
    <w:rsid w:val="004920EC"/>
    <w:rsid w:val="0049387E"/>
    <w:rsid w:val="00494006"/>
    <w:rsid w:val="004940D6"/>
    <w:rsid w:val="00497806"/>
    <w:rsid w:val="004A1007"/>
    <w:rsid w:val="004A4AE0"/>
    <w:rsid w:val="004A762A"/>
    <w:rsid w:val="004B3FC2"/>
    <w:rsid w:val="004B4DE5"/>
    <w:rsid w:val="004C01FF"/>
    <w:rsid w:val="004C172D"/>
    <w:rsid w:val="004C4A93"/>
    <w:rsid w:val="004C5D1F"/>
    <w:rsid w:val="004C7CEA"/>
    <w:rsid w:val="004D1217"/>
    <w:rsid w:val="004D180B"/>
    <w:rsid w:val="004D5872"/>
    <w:rsid w:val="004E0479"/>
    <w:rsid w:val="004E0E8B"/>
    <w:rsid w:val="004F0920"/>
    <w:rsid w:val="004F4ADE"/>
    <w:rsid w:val="004F630F"/>
    <w:rsid w:val="004F651A"/>
    <w:rsid w:val="004F72A0"/>
    <w:rsid w:val="00501E03"/>
    <w:rsid w:val="0050268A"/>
    <w:rsid w:val="00506781"/>
    <w:rsid w:val="00507BB2"/>
    <w:rsid w:val="00507D23"/>
    <w:rsid w:val="00512A79"/>
    <w:rsid w:val="00513510"/>
    <w:rsid w:val="00513EC7"/>
    <w:rsid w:val="00514AB2"/>
    <w:rsid w:val="00515460"/>
    <w:rsid w:val="00517763"/>
    <w:rsid w:val="0052092E"/>
    <w:rsid w:val="00520AC3"/>
    <w:rsid w:val="00520DF0"/>
    <w:rsid w:val="00521B92"/>
    <w:rsid w:val="0052222D"/>
    <w:rsid w:val="0052665E"/>
    <w:rsid w:val="0052682E"/>
    <w:rsid w:val="00526B6A"/>
    <w:rsid w:val="00527745"/>
    <w:rsid w:val="0053000A"/>
    <w:rsid w:val="00533D3E"/>
    <w:rsid w:val="00534786"/>
    <w:rsid w:val="00534AE8"/>
    <w:rsid w:val="0053720E"/>
    <w:rsid w:val="00543A29"/>
    <w:rsid w:val="0054442E"/>
    <w:rsid w:val="00545B64"/>
    <w:rsid w:val="0054717D"/>
    <w:rsid w:val="0054754D"/>
    <w:rsid w:val="005506B7"/>
    <w:rsid w:val="00550CE1"/>
    <w:rsid w:val="00550D7A"/>
    <w:rsid w:val="00551EF2"/>
    <w:rsid w:val="00553441"/>
    <w:rsid w:val="005617D3"/>
    <w:rsid w:val="00564722"/>
    <w:rsid w:val="0056539D"/>
    <w:rsid w:val="00566B44"/>
    <w:rsid w:val="00570A71"/>
    <w:rsid w:val="00572150"/>
    <w:rsid w:val="005740C0"/>
    <w:rsid w:val="00575D73"/>
    <w:rsid w:val="00591CBB"/>
    <w:rsid w:val="005947B4"/>
    <w:rsid w:val="0059600A"/>
    <w:rsid w:val="005A1350"/>
    <w:rsid w:val="005A1A4C"/>
    <w:rsid w:val="005A1AC6"/>
    <w:rsid w:val="005A39E6"/>
    <w:rsid w:val="005B0C38"/>
    <w:rsid w:val="005B2FD2"/>
    <w:rsid w:val="005B3D6F"/>
    <w:rsid w:val="005B466A"/>
    <w:rsid w:val="005B4F1D"/>
    <w:rsid w:val="005B6303"/>
    <w:rsid w:val="005C08EE"/>
    <w:rsid w:val="005C65AE"/>
    <w:rsid w:val="005C6F64"/>
    <w:rsid w:val="005D0415"/>
    <w:rsid w:val="005D1706"/>
    <w:rsid w:val="005D378E"/>
    <w:rsid w:val="005D37DC"/>
    <w:rsid w:val="005D3DB0"/>
    <w:rsid w:val="005D6279"/>
    <w:rsid w:val="005D6E81"/>
    <w:rsid w:val="005D7392"/>
    <w:rsid w:val="005E1A63"/>
    <w:rsid w:val="005E3733"/>
    <w:rsid w:val="005E43DE"/>
    <w:rsid w:val="005E6FB2"/>
    <w:rsid w:val="005F1EA1"/>
    <w:rsid w:val="005F24C5"/>
    <w:rsid w:val="005F4D2C"/>
    <w:rsid w:val="005F6FFA"/>
    <w:rsid w:val="005F7712"/>
    <w:rsid w:val="0060195B"/>
    <w:rsid w:val="00604BCB"/>
    <w:rsid w:val="00604C24"/>
    <w:rsid w:val="006051B3"/>
    <w:rsid w:val="00607AA9"/>
    <w:rsid w:val="0061015F"/>
    <w:rsid w:val="006204FC"/>
    <w:rsid w:val="00624B44"/>
    <w:rsid w:val="00624F8A"/>
    <w:rsid w:val="006270A0"/>
    <w:rsid w:val="00631974"/>
    <w:rsid w:val="00633C61"/>
    <w:rsid w:val="006406CB"/>
    <w:rsid w:val="0064741F"/>
    <w:rsid w:val="00651A73"/>
    <w:rsid w:val="0065272D"/>
    <w:rsid w:val="00657ABE"/>
    <w:rsid w:val="006604A4"/>
    <w:rsid w:val="00662B36"/>
    <w:rsid w:val="00663F2F"/>
    <w:rsid w:val="00667273"/>
    <w:rsid w:val="00670976"/>
    <w:rsid w:val="00671080"/>
    <w:rsid w:val="00671BF6"/>
    <w:rsid w:val="00673ED5"/>
    <w:rsid w:val="006762E5"/>
    <w:rsid w:val="006769C4"/>
    <w:rsid w:val="006832E9"/>
    <w:rsid w:val="00685EEF"/>
    <w:rsid w:val="00690B25"/>
    <w:rsid w:val="006916D3"/>
    <w:rsid w:val="00694039"/>
    <w:rsid w:val="006940D3"/>
    <w:rsid w:val="00697556"/>
    <w:rsid w:val="006A0657"/>
    <w:rsid w:val="006A1B73"/>
    <w:rsid w:val="006A3367"/>
    <w:rsid w:val="006A3AA4"/>
    <w:rsid w:val="006A4216"/>
    <w:rsid w:val="006A684F"/>
    <w:rsid w:val="006A7343"/>
    <w:rsid w:val="006B0BD7"/>
    <w:rsid w:val="006B1560"/>
    <w:rsid w:val="006B71EF"/>
    <w:rsid w:val="006B79DC"/>
    <w:rsid w:val="006C2729"/>
    <w:rsid w:val="006C2AB0"/>
    <w:rsid w:val="006C4575"/>
    <w:rsid w:val="006C65E6"/>
    <w:rsid w:val="006D1CEF"/>
    <w:rsid w:val="006D32C7"/>
    <w:rsid w:val="006D3BE3"/>
    <w:rsid w:val="006D731F"/>
    <w:rsid w:val="006E365A"/>
    <w:rsid w:val="006F02C4"/>
    <w:rsid w:val="006F0511"/>
    <w:rsid w:val="006F0955"/>
    <w:rsid w:val="006F1815"/>
    <w:rsid w:val="006F4A99"/>
    <w:rsid w:val="006F50A9"/>
    <w:rsid w:val="006F53D7"/>
    <w:rsid w:val="00700037"/>
    <w:rsid w:val="00700EF1"/>
    <w:rsid w:val="00701D42"/>
    <w:rsid w:val="00702997"/>
    <w:rsid w:val="00702F20"/>
    <w:rsid w:val="007044A4"/>
    <w:rsid w:val="007047C6"/>
    <w:rsid w:val="007067BB"/>
    <w:rsid w:val="00706D0E"/>
    <w:rsid w:val="007073E7"/>
    <w:rsid w:val="0071256B"/>
    <w:rsid w:val="007125E4"/>
    <w:rsid w:val="007139BE"/>
    <w:rsid w:val="00713A54"/>
    <w:rsid w:val="00716141"/>
    <w:rsid w:val="0071678A"/>
    <w:rsid w:val="00716BA5"/>
    <w:rsid w:val="00723D01"/>
    <w:rsid w:val="00723D51"/>
    <w:rsid w:val="00724283"/>
    <w:rsid w:val="0072438F"/>
    <w:rsid w:val="00724E45"/>
    <w:rsid w:val="007265AF"/>
    <w:rsid w:val="007278BA"/>
    <w:rsid w:val="007305B9"/>
    <w:rsid w:val="0073157C"/>
    <w:rsid w:val="00733BAD"/>
    <w:rsid w:val="00734EF1"/>
    <w:rsid w:val="00735A28"/>
    <w:rsid w:val="00736C82"/>
    <w:rsid w:val="007419B6"/>
    <w:rsid w:val="0074725C"/>
    <w:rsid w:val="007478BD"/>
    <w:rsid w:val="00747949"/>
    <w:rsid w:val="00750C34"/>
    <w:rsid w:val="007515DE"/>
    <w:rsid w:val="00754D1D"/>
    <w:rsid w:val="00755E40"/>
    <w:rsid w:val="007570E1"/>
    <w:rsid w:val="007601E6"/>
    <w:rsid w:val="007621EE"/>
    <w:rsid w:val="007626FD"/>
    <w:rsid w:val="00762F84"/>
    <w:rsid w:val="00763F5E"/>
    <w:rsid w:val="0076555B"/>
    <w:rsid w:val="00765796"/>
    <w:rsid w:val="00767F9F"/>
    <w:rsid w:val="00771108"/>
    <w:rsid w:val="00771F35"/>
    <w:rsid w:val="00777B5A"/>
    <w:rsid w:val="0078008F"/>
    <w:rsid w:val="00783E89"/>
    <w:rsid w:val="007852E7"/>
    <w:rsid w:val="00786FD0"/>
    <w:rsid w:val="00790A31"/>
    <w:rsid w:val="00790D2E"/>
    <w:rsid w:val="00790F97"/>
    <w:rsid w:val="0079197B"/>
    <w:rsid w:val="00792303"/>
    <w:rsid w:val="0079527E"/>
    <w:rsid w:val="00795648"/>
    <w:rsid w:val="007970D0"/>
    <w:rsid w:val="00797715"/>
    <w:rsid w:val="007A1010"/>
    <w:rsid w:val="007A2E9D"/>
    <w:rsid w:val="007A30C5"/>
    <w:rsid w:val="007A6077"/>
    <w:rsid w:val="007B1B4C"/>
    <w:rsid w:val="007B1E33"/>
    <w:rsid w:val="007B2044"/>
    <w:rsid w:val="007B2BD0"/>
    <w:rsid w:val="007B4F88"/>
    <w:rsid w:val="007B6777"/>
    <w:rsid w:val="007C1AD6"/>
    <w:rsid w:val="007C2596"/>
    <w:rsid w:val="007C3F0B"/>
    <w:rsid w:val="007C468D"/>
    <w:rsid w:val="007C5110"/>
    <w:rsid w:val="007C5180"/>
    <w:rsid w:val="007C5BE0"/>
    <w:rsid w:val="007D34FC"/>
    <w:rsid w:val="007D4742"/>
    <w:rsid w:val="007D7673"/>
    <w:rsid w:val="007D7BF7"/>
    <w:rsid w:val="007E0E89"/>
    <w:rsid w:val="007E1DA0"/>
    <w:rsid w:val="007E4F33"/>
    <w:rsid w:val="007E57B4"/>
    <w:rsid w:val="007E5BD0"/>
    <w:rsid w:val="007E6886"/>
    <w:rsid w:val="007E7726"/>
    <w:rsid w:val="007E7D83"/>
    <w:rsid w:val="007F0E30"/>
    <w:rsid w:val="007F138B"/>
    <w:rsid w:val="007F1970"/>
    <w:rsid w:val="007F2E20"/>
    <w:rsid w:val="007F2FAD"/>
    <w:rsid w:val="007F3857"/>
    <w:rsid w:val="007F6024"/>
    <w:rsid w:val="007F6091"/>
    <w:rsid w:val="007F663B"/>
    <w:rsid w:val="00801B70"/>
    <w:rsid w:val="008065CA"/>
    <w:rsid w:val="0080718A"/>
    <w:rsid w:val="00811758"/>
    <w:rsid w:val="00813195"/>
    <w:rsid w:val="00813C07"/>
    <w:rsid w:val="00814641"/>
    <w:rsid w:val="008231E4"/>
    <w:rsid w:val="00823EFF"/>
    <w:rsid w:val="00824ECB"/>
    <w:rsid w:val="00832546"/>
    <w:rsid w:val="00832AD7"/>
    <w:rsid w:val="0083377A"/>
    <w:rsid w:val="00836E1A"/>
    <w:rsid w:val="00837998"/>
    <w:rsid w:val="00837D3D"/>
    <w:rsid w:val="008408BA"/>
    <w:rsid w:val="00840CD6"/>
    <w:rsid w:val="0085357E"/>
    <w:rsid w:val="0085384F"/>
    <w:rsid w:val="008539D5"/>
    <w:rsid w:val="00853B2E"/>
    <w:rsid w:val="00853E2F"/>
    <w:rsid w:val="00854C21"/>
    <w:rsid w:val="008555D8"/>
    <w:rsid w:val="00856FF4"/>
    <w:rsid w:val="008608DA"/>
    <w:rsid w:val="008624BF"/>
    <w:rsid w:val="00864357"/>
    <w:rsid w:val="00864ED4"/>
    <w:rsid w:val="00867C56"/>
    <w:rsid w:val="008764BC"/>
    <w:rsid w:val="00880FB4"/>
    <w:rsid w:val="008819B6"/>
    <w:rsid w:val="00890B09"/>
    <w:rsid w:val="00891D55"/>
    <w:rsid w:val="00893E98"/>
    <w:rsid w:val="0089496D"/>
    <w:rsid w:val="008A0036"/>
    <w:rsid w:val="008A2BC7"/>
    <w:rsid w:val="008A5A22"/>
    <w:rsid w:val="008A5FE9"/>
    <w:rsid w:val="008A6F87"/>
    <w:rsid w:val="008A7999"/>
    <w:rsid w:val="008B6BFC"/>
    <w:rsid w:val="008B7637"/>
    <w:rsid w:val="008C57C8"/>
    <w:rsid w:val="008C66C2"/>
    <w:rsid w:val="008C731D"/>
    <w:rsid w:val="008D0AEF"/>
    <w:rsid w:val="008D2154"/>
    <w:rsid w:val="008D2E86"/>
    <w:rsid w:val="008D3484"/>
    <w:rsid w:val="008D6EA0"/>
    <w:rsid w:val="008E040C"/>
    <w:rsid w:val="008E0928"/>
    <w:rsid w:val="008E317F"/>
    <w:rsid w:val="008F069A"/>
    <w:rsid w:val="008F18B6"/>
    <w:rsid w:val="008F2106"/>
    <w:rsid w:val="008F3B50"/>
    <w:rsid w:val="008F49D1"/>
    <w:rsid w:val="008F4C19"/>
    <w:rsid w:val="008F5780"/>
    <w:rsid w:val="008F58E4"/>
    <w:rsid w:val="008F7DC3"/>
    <w:rsid w:val="00906E79"/>
    <w:rsid w:val="009140AC"/>
    <w:rsid w:val="00916D02"/>
    <w:rsid w:val="00920025"/>
    <w:rsid w:val="009224CD"/>
    <w:rsid w:val="009249FF"/>
    <w:rsid w:val="00925C45"/>
    <w:rsid w:val="009263AD"/>
    <w:rsid w:val="0092710F"/>
    <w:rsid w:val="0093167F"/>
    <w:rsid w:val="00931B21"/>
    <w:rsid w:val="00933A09"/>
    <w:rsid w:val="00934083"/>
    <w:rsid w:val="00936E73"/>
    <w:rsid w:val="00940590"/>
    <w:rsid w:val="00942392"/>
    <w:rsid w:val="009432E0"/>
    <w:rsid w:val="0094371D"/>
    <w:rsid w:val="009437E0"/>
    <w:rsid w:val="009440BE"/>
    <w:rsid w:val="009519BA"/>
    <w:rsid w:val="00962D0E"/>
    <w:rsid w:val="00963305"/>
    <w:rsid w:val="0096438A"/>
    <w:rsid w:val="00966C49"/>
    <w:rsid w:val="009702C9"/>
    <w:rsid w:val="0097264D"/>
    <w:rsid w:val="00972765"/>
    <w:rsid w:val="00972A7B"/>
    <w:rsid w:val="00974F64"/>
    <w:rsid w:val="00976DEC"/>
    <w:rsid w:val="00980A98"/>
    <w:rsid w:val="009810AB"/>
    <w:rsid w:val="00981474"/>
    <w:rsid w:val="009836E6"/>
    <w:rsid w:val="009A05B4"/>
    <w:rsid w:val="009A152D"/>
    <w:rsid w:val="009A1901"/>
    <w:rsid w:val="009A2C1C"/>
    <w:rsid w:val="009A302D"/>
    <w:rsid w:val="009A33D0"/>
    <w:rsid w:val="009A5CDB"/>
    <w:rsid w:val="009B03CB"/>
    <w:rsid w:val="009B0A2F"/>
    <w:rsid w:val="009B0C8D"/>
    <w:rsid w:val="009B2F6D"/>
    <w:rsid w:val="009B3BEC"/>
    <w:rsid w:val="009B40AB"/>
    <w:rsid w:val="009B42C6"/>
    <w:rsid w:val="009B4B60"/>
    <w:rsid w:val="009B5A3C"/>
    <w:rsid w:val="009B5E12"/>
    <w:rsid w:val="009B7861"/>
    <w:rsid w:val="009C0DD6"/>
    <w:rsid w:val="009C0EE1"/>
    <w:rsid w:val="009C1CC9"/>
    <w:rsid w:val="009C1F59"/>
    <w:rsid w:val="009C4B60"/>
    <w:rsid w:val="009C4B6D"/>
    <w:rsid w:val="009C57BC"/>
    <w:rsid w:val="009C6E8C"/>
    <w:rsid w:val="009C702F"/>
    <w:rsid w:val="009C74B9"/>
    <w:rsid w:val="009D0765"/>
    <w:rsid w:val="009D0BF9"/>
    <w:rsid w:val="009D2BEB"/>
    <w:rsid w:val="009D7BF0"/>
    <w:rsid w:val="009E19BA"/>
    <w:rsid w:val="009E2945"/>
    <w:rsid w:val="009E4953"/>
    <w:rsid w:val="009E610B"/>
    <w:rsid w:val="009F0F23"/>
    <w:rsid w:val="009F3E16"/>
    <w:rsid w:val="009F7D56"/>
    <w:rsid w:val="00A0307D"/>
    <w:rsid w:val="00A04A98"/>
    <w:rsid w:val="00A05711"/>
    <w:rsid w:val="00A057CB"/>
    <w:rsid w:val="00A0600B"/>
    <w:rsid w:val="00A0626A"/>
    <w:rsid w:val="00A064EA"/>
    <w:rsid w:val="00A1005C"/>
    <w:rsid w:val="00A11E96"/>
    <w:rsid w:val="00A1215F"/>
    <w:rsid w:val="00A122BD"/>
    <w:rsid w:val="00A14362"/>
    <w:rsid w:val="00A16E74"/>
    <w:rsid w:val="00A22D6B"/>
    <w:rsid w:val="00A23A99"/>
    <w:rsid w:val="00A24246"/>
    <w:rsid w:val="00A24617"/>
    <w:rsid w:val="00A30536"/>
    <w:rsid w:val="00A3330F"/>
    <w:rsid w:val="00A33D8A"/>
    <w:rsid w:val="00A35C0A"/>
    <w:rsid w:val="00A4431D"/>
    <w:rsid w:val="00A45509"/>
    <w:rsid w:val="00A45CDE"/>
    <w:rsid w:val="00A52562"/>
    <w:rsid w:val="00A537B0"/>
    <w:rsid w:val="00A545B6"/>
    <w:rsid w:val="00A5538C"/>
    <w:rsid w:val="00A56A58"/>
    <w:rsid w:val="00A57ADE"/>
    <w:rsid w:val="00A613E1"/>
    <w:rsid w:val="00A61F37"/>
    <w:rsid w:val="00A620FE"/>
    <w:rsid w:val="00A65760"/>
    <w:rsid w:val="00A675FF"/>
    <w:rsid w:val="00A75866"/>
    <w:rsid w:val="00A77114"/>
    <w:rsid w:val="00A835CF"/>
    <w:rsid w:val="00A84E67"/>
    <w:rsid w:val="00A855F3"/>
    <w:rsid w:val="00A860E7"/>
    <w:rsid w:val="00A86808"/>
    <w:rsid w:val="00A91138"/>
    <w:rsid w:val="00A9273F"/>
    <w:rsid w:val="00A94C1B"/>
    <w:rsid w:val="00A959D2"/>
    <w:rsid w:val="00A979F3"/>
    <w:rsid w:val="00AA0B9C"/>
    <w:rsid w:val="00AA1350"/>
    <w:rsid w:val="00AA1551"/>
    <w:rsid w:val="00AA3BCC"/>
    <w:rsid w:val="00AA4F26"/>
    <w:rsid w:val="00AA7A9A"/>
    <w:rsid w:val="00AB08CA"/>
    <w:rsid w:val="00AB0A70"/>
    <w:rsid w:val="00AB113C"/>
    <w:rsid w:val="00AB1495"/>
    <w:rsid w:val="00AB28E6"/>
    <w:rsid w:val="00AB385D"/>
    <w:rsid w:val="00AB3EC7"/>
    <w:rsid w:val="00AB4E3E"/>
    <w:rsid w:val="00AB5647"/>
    <w:rsid w:val="00AC4341"/>
    <w:rsid w:val="00AC57F6"/>
    <w:rsid w:val="00AC5BDD"/>
    <w:rsid w:val="00AC6F69"/>
    <w:rsid w:val="00AD1D4D"/>
    <w:rsid w:val="00AD2592"/>
    <w:rsid w:val="00AD325B"/>
    <w:rsid w:val="00AD49C8"/>
    <w:rsid w:val="00AD7FD4"/>
    <w:rsid w:val="00AE252E"/>
    <w:rsid w:val="00AE408D"/>
    <w:rsid w:val="00AF0663"/>
    <w:rsid w:val="00AF0E87"/>
    <w:rsid w:val="00AF5610"/>
    <w:rsid w:val="00AF74AD"/>
    <w:rsid w:val="00B00DF4"/>
    <w:rsid w:val="00B03039"/>
    <w:rsid w:val="00B0501A"/>
    <w:rsid w:val="00B0635C"/>
    <w:rsid w:val="00B13640"/>
    <w:rsid w:val="00B144AB"/>
    <w:rsid w:val="00B15A3B"/>
    <w:rsid w:val="00B17EE2"/>
    <w:rsid w:val="00B22224"/>
    <w:rsid w:val="00B239D1"/>
    <w:rsid w:val="00B2644F"/>
    <w:rsid w:val="00B2648A"/>
    <w:rsid w:val="00B26A0D"/>
    <w:rsid w:val="00B26DE8"/>
    <w:rsid w:val="00B279D3"/>
    <w:rsid w:val="00B31AC1"/>
    <w:rsid w:val="00B32CC2"/>
    <w:rsid w:val="00B3554A"/>
    <w:rsid w:val="00B37997"/>
    <w:rsid w:val="00B37F18"/>
    <w:rsid w:val="00B40C01"/>
    <w:rsid w:val="00B451B9"/>
    <w:rsid w:val="00B52F0A"/>
    <w:rsid w:val="00B553DF"/>
    <w:rsid w:val="00B55DA8"/>
    <w:rsid w:val="00B567C2"/>
    <w:rsid w:val="00B567D7"/>
    <w:rsid w:val="00B61D47"/>
    <w:rsid w:val="00B62B9E"/>
    <w:rsid w:val="00B62DA2"/>
    <w:rsid w:val="00B63A04"/>
    <w:rsid w:val="00B6458C"/>
    <w:rsid w:val="00B713EB"/>
    <w:rsid w:val="00B72E54"/>
    <w:rsid w:val="00B7487D"/>
    <w:rsid w:val="00B75F70"/>
    <w:rsid w:val="00B76713"/>
    <w:rsid w:val="00B77B78"/>
    <w:rsid w:val="00B80E6A"/>
    <w:rsid w:val="00B81301"/>
    <w:rsid w:val="00B84715"/>
    <w:rsid w:val="00B86118"/>
    <w:rsid w:val="00B8643C"/>
    <w:rsid w:val="00B93348"/>
    <w:rsid w:val="00BA1528"/>
    <w:rsid w:val="00BA1992"/>
    <w:rsid w:val="00BA422A"/>
    <w:rsid w:val="00BA71D4"/>
    <w:rsid w:val="00BA7F20"/>
    <w:rsid w:val="00BB061A"/>
    <w:rsid w:val="00BB3369"/>
    <w:rsid w:val="00BB55E4"/>
    <w:rsid w:val="00BC0FB3"/>
    <w:rsid w:val="00BC1DB9"/>
    <w:rsid w:val="00BC20F8"/>
    <w:rsid w:val="00BC2FBE"/>
    <w:rsid w:val="00BC3A6C"/>
    <w:rsid w:val="00BC4D14"/>
    <w:rsid w:val="00BC56A2"/>
    <w:rsid w:val="00BC6CC1"/>
    <w:rsid w:val="00BD0D18"/>
    <w:rsid w:val="00BD1987"/>
    <w:rsid w:val="00BD3F94"/>
    <w:rsid w:val="00BD57D4"/>
    <w:rsid w:val="00BD6F58"/>
    <w:rsid w:val="00BE08D1"/>
    <w:rsid w:val="00BE0EE4"/>
    <w:rsid w:val="00BE158E"/>
    <w:rsid w:val="00BE1E8A"/>
    <w:rsid w:val="00BE2A24"/>
    <w:rsid w:val="00BE3106"/>
    <w:rsid w:val="00BE4CDC"/>
    <w:rsid w:val="00BF0CBD"/>
    <w:rsid w:val="00BF1799"/>
    <w:rsid w:val="00BF373E"/>
    <w:rsid w:val="00BF42ED"/>
    <w:rsid w:val="00BF4E0C"/>
    <w:rsid w:val="00BF5C2B"/>
    <w:rsid w:val="00C015DB"/>
    <w:rsid w:val="00C078E0"/>
    <w:rsid w:val="00C07DD4"/>
    <w:rsid w:val="00C114AA"/>
    <w:rsid w:val="00C114F5"/>
    <w:rsid w:val="00C11856"/>
    <w:rsid w:val="00C14442"/>
    <w:rsid w:val="00C146C4"/>
    <w:rsid w:val="00C16D9B"/>
    <w:rsid w:val="00C2066E"/>
    <w:rsid w:val="00C219A3"/>
    <w:rsid w:val="00C22F74"/>
    <w:rsid w:val="00C231EB"/>
    <w:rsid w:val="00C2353B"/>
    <w:rsid w:val="00C23FBE"/>
    <w:rsid w:val="00C25BA2"/>
    <w:rsid w:val="00C27A12"/>
    <w:rsid w:val="00C31097"/>
    <w:rsid w:val="00C320E5"/>
    <w:rsid w:val="00C32EB6"/>
    <w:rsid w:val="00C354C9"/>
    <w:rsid w:val="00C376FF"/>
    <w:rsid w:val="00C41C44"/>
    <w:rsid w:val="00C42352"/>
    <w:rsid w:val="00C42A54"/>
    <w:rsid w:val="00C4303E"/>
    <w:rsid w:val="00C4442C"/>
    <w:rsid w:val="00C45B59"/>
    <w:rsid w:val="00C45D1A"/>
    <w:rsid w:val="00C4608A"/>
    <w:rsid w:val="00C467D8"/>
    <w:rsid w:val="00C520AA"/>
    <w:rsid w:val="00C52136"/>
    <w:rsid w:val="00C5311B"/>
    <w:rsid w:val="00C554D6"/>
    <w:rsid w:val="00C57AD6"/>
    <w:rsid w:val="00C606E5"/>
    <w:rsid w:val="00C61A36"/>
    <w:rsid w:val="00C62BA9"/>
    <w:rsid w:val="00C64863"/>
    <w:rsid w:val="00C6763B"/>
    <w:rsid w:val="00C67A40"/>
    <w:rsid w:val="00C70317"/>
    <w:rsid w:val="00C71627"/>
    <w:rsid w:val="00C72B2F"/>
    <w:rsid w:val="00C73796"/>
    <w:rsid w:val="00C760E9"/>
    <w:rsid w:val="00C76A41"/>
    <w:rsid w:val="00C774FA"/>
    <w:rsid w:val="00C80606"/>
    <w:rsid w:val="00C80E08"/>
    <w:rsid w:val="00C81D32"/>
    <w:rsid w:val="00C833ED"/>
    <w:rsid w:val="00C86593"/>
    <w:rsid w:val="00C8714C"/>
    <w:rsid w:val="00C90041"/>
    <w:rsid w:val="00C902C7"/>
    <w:rsid w:val="00C9208B"/>
    <w:rsid w:val="00C92B6B"/>
    <w:rsid w:val="00C93A4F"/>
    <w:rsid w:val="00C95D13"/>
    <w:rsid w:val="00C96175"/>
    <w:rsid w:val="00C96BA8"/>
    <w:rsid w:val="00CA0E56"/>
    <w:rsid w:val="00CA37E7"/>
    <w:rsid w:val="00CA5989"/>
    <w:rsid w:val="00CA71B3"/>
    <w:rsid w:val="00CB0EED"/>
    <w:rsid w:val="00CB24AC"/>
    <w:rsid w:val="00CB66D3"/>
    <w:rsid w:val="00CC4CE1"/>
    <w:rsid w:val="00CC5501"/>
    <w:rsid w:val="00CC6810"/>
    <w:rsid w:val="00CD1CE2"/>
    <w:rsid w:val="00CE207E"/>
    <w:rsid w:val="00CE4251"/>
    <w:rsid w:val="00CE46FA"/>
    <w:rsid w:val="00CE612A"/>
    <w:rsid w:val="00CE7A9B"/>
    <w:rsid w:val="00CF3540"/>
    <w:rsid w:val="00CF3C98"/>
    <w:rsid w:val="00CF47EB"/>
    <w:rsid w:val="00CF49A8"/>
    <w:rsid w:val="00CF4E87"/>
    <w:rsid w:val="00CF5583"/>
    <w:rsid w:val="00CF6B6A"/>
    <w:rsid w:val="00D03C7E"/>
    <w:rsid w:val="00D04267"/>
    <w:rsid w:val="00D12A9A"/>
    <w:rsid w:val="00D1345D"/>
    <w:rsid w:val="00D155DE"/>
    <w:rsid w:val="00D171F8"/>
    <w:rsid w:val="00D17ECB"/>
    <w:rsid w:val="00D204FD"/>
    <w:rsid w:val="00D205FD"/>
    <w:rsid w:val="00D2255A"/>
    <w:rsid w:val="00D2260F"/>
    <w:rsid w:val="00D2434E"/>
    <w:rsid w:val="00D25AA6"/>
    <w:rsid w:val="00D2709C"/>
    <w:rsid w:val="00D31A0E"/>
    <w:rsid w:val="00D33CEA"/>
    <w:rsid w:val="00D3557C"/>
    <w:rsid w:val="00D4080C"/>
    <w:rsid w:val="00D41C72"/>
    <w:rsid w:val="00D426B5"/>
    <w:rsid w:val="00D42E28"/>
    <w:rsid w:val="00D4488F"/>
    <w:rsid w:val="00D470FE"/>
    <w:rsid w:val="00D47F2A"/>
    <w:rsid w:val="00D518D1"/>
    <w:rsid w:val="00D532E2"/>
    <w:rsid w:val="00D551E8"/>
    <w:rsid w:val="00D56FC7"/>
    <w:rsid w:val="00D6051A"/>
    <w:rsid w:val="00D60AE9"/>
    <w:rsid w:val="00D639C5"/>
    <w:rsid w:val="00D645BC"/>
    <w:rsid w:val="00D654B3"/>
    <w:rsid w:val="00D67AC2"/>
    <w:rsid w:val="00D67CEF"/>
    <w:rsid w:val="00D715F6"/>
    <w:rsid w:val="00D716EE"/>
    <w:rsid w:val="00D80C59"/>
    <w:rsid w:val="00D854DA"/>
    <w:rsid w:val="00D865C9"/>
    <w:rsid w:val="00D87CAF"/>
    <w:rsid w:val="00D901BA"/>
    <w:rsid w:val="00D9126D"/>
    <w:rsid w:val="00D948B8"/>
    <w:rsid w:val="00D957C3"/>
    <w:rsid w:val="00D96AD3"/>
    <w:rsid w:val="00DA60CC"/>
    <w:rsid w:val="00DB0D0D"/>
    <w:rsid w:val="00DB12CD"/>
    <w:rsid w:val="00DB2767"/>
    <w:rsid w:val="00DB5953"/>
    <w:rsid w:val="00DB6899"/>
    <w:rsid w:val="00DB738F"/>
    <w:rsid w:val="00DB749D"/>
    <w:rsid w:val="00DB7B6F"/>
    <w:rsid w:val="00DC0745"/>
    <w:rsid w:val="00DC0980"/>
    <w:rsid w:val="00DC102B"/>
    <w:rsid w:val="00DC27EB"/>
    <w:rsid w:val="00DC5748"/>
    <w:rsid w:val="00DC71F8"/>
    <w:rsid w:val="00DC72B7"/>
    <w:rsid w:val="00DC73A4"/>
    <w:rsid w:val="00DD3D62"/>
    <w:rsid w:val="00DD4B90"/>
    <w:rsid w:val="00DE3072"/>
    <w:rsid w:val="00DE4A7D"/>
    <w:rsid w:val="00DE5EA6"/>
    <w:rsid w:val="00DE6726"/>
    <w:rsid w:val="00DE7E42"/>
    <w:rsid w:val="00DF362B"/>
    <w:rsid w:val="00DF3DAC"/>
    <w:rsid w:val="00DF64E0"/>
    <w:rsid w:val="00DF75EE"/>
    <w:rsid w:val="00E06373"/>
    <w:rsid w:val="00E06390"/>
    <w:rsid w:val="00E10A1F"/>
    <w:rsid w:val="00E1225E"/>
    <w:rsid w:val="00E13823"/>
    <w:rsid w:val="00E169A4"/>
    <w:rsid w:val="00E17F57"/>
    <w:rsid w:val="00E2088F"/>
    <w:rsid w:val="00E20CDD"/>
    <w:rsid w:val="00E23528"/>
    <w:rsid w:val="00E260B8"/>
    <w:rsid w:val="00E26DE8"/>
    <w:rsid w:val="00E331B3"/>
    <w:rsid w:val="00E34F2E"/>
    <w:rsid w:val="00E35A6F"/>
    <w:rsid w:val="00E35E75"/>
    <w:rsid w:val="00E40199"/>
    <w:rsid w:val="00E40D1F"/>
    <w:rsid w:val="00E41335"/>
    <w:rsid w:val="00E4289E"/>
    <w:rsid w:val="00E439A6"/>
    <w:rsid w:val="00E4641E"/>
    <w:rsid w:val="00E502E5"/>
    <w:rsid w:val="00E508CD"/>
    <w:rsid w:val="00E529B9"/>
    <w:rsid w:val="00E52AE5"/>
    <w:rsid w:val="00E53005"/>
    <w:rsid w:val="00E54D4A"/>
    <w:rsid w:val="00E5528D"/>
    <w:rsid w:val="00E60953"/>
    <w:rsid w:val="00E61D56"/>
    <w:rsid w:val="00E61E51"/>
    <w:rsid w:val="00E62463"/>
    <w:rsid w:val="00E63541"/>
    <w:rsid w:val="00E669FB"/>
    <w:rsid w:val="00E674EE"/>
    <w:rsid w:val="00E70F79"/>
    <w:rsid w:val="00E73C6E"/>
    <w:rsid w:val="00E77515"/>
    <w:rsid w:val="00E8063D"/>
    <w:rsid w:val="00E8170F"/>
    <w:rsid w:val="00E824DF"/>
    <w:rsid w:val="00E82813"/>
    <w:rsid w:val="00E82CFF"/>
    <w:rsid w:val="00E84385"/>
    <w:rsid w:val="00E85731"/>
    <w:rsid w:val="00E85C88"/>
    <w:rsid w:val="00E91D21"/>
    <w:rsid w:val="00E930BC"/>
    <w:rsid w:val="00E95383"/>
    <w:rsid w:val="00E9650C"/>
    <w:rsid w:val="00E97743"/>
    <w:rsid w:val="00EA175A"/>
    <w:rsid w:val="00EA1BB1"/>
    <w:rsid w:val="00EA2A15"/>
    <w:rsid w:val="00EA2BB1"/>
    <w:rsid w:val="00EA51B2"/>
    <w:rsid w:val="00EB1008"/>
    <w:rsid w:val="00EB10B5"/>
    <w:rsid w:val="00EB207D"/>
    <w:rsid w:val="00EB43D5"/>
    <w:rsid w:val="00EB736B"/>
    <w:rsid w:val="00EC4C77"/>
    <w:rsid w:val="00EC622B"/>
    <w:rsid w:val="00EC7BB4"/>
    <w:rsid w:val="00ED25A4"/>
    <w:rsid w:val="00ED2E20"/>
    <w:rsid w:val="00EE09A8"/>
    <w:rsid w:val="00EE1370"/>
    <w:rsid w:val="00EE1EA6"/>
    <w:rsid w:val="00EE24EC"/>
    <w:rsid w:val="00EE7A31"/>
    <w:rsid w:val="00EF2AC8"/>
    <w:rsid w:val="00EF2C3B"/>
    <w:rsid w:val="00EF594E"/>
    <w:rsid w:val="00EF79FC"/>
    <w:rsid w:val="00F000B2"/>
    <w:rsid w:val="00F00305"/>
    <w:rsid w:val="00F01DD2"/>
    <w:rsid w:val="00F01E23"/>
    <w:rsid w:val="00F0736E"/>
    <w:rsid w:val="00F10BC6"/>
    <w:rsid w:val="00F157BA"/>
    <w:rsid w:val="00F16153"/>
    <w:rsid w:val="00F210F0"/>
    <w:rsid w:val="00F224EF"/>
    <w:rsid w:val="00F23BCE"/>
    <w:rsid w:val="00F257C8"/>
    <w:rsid w:val="00F25934"/>
    <w:rsid w:val="00F26D35"/>
    <w:rsid w:val="00F273EC"/>
    <w:rsid w:val="00F307AF"/>
    <w:rsid w:val="00F35152"/>
    <w:rsid w:val="00F360D5"/>
    <w:rsid w:val="00F36251"/>
    <w:rsid w:val="00F41FF8"/>
    <w:rsid w:val="00F42983"/>
    <w:rsid w:val="00F4417F"/>
    <w:rsid w:val="00F44DB4"/>
    <w:rsid w:val="00F46CEE"/>
    <w:rsid w:val="00F47DCA"/>
    <w:rsid w:val="00F50242"/>
    <w:rsid w:val="00F50279"/>
    <w:rsid w:val="00F51AB3"/>
    <w:rsid w:val="00F51E96"/>
    <w:rsid w:val="00F53353"/>
    <w:rsid w:val="00F534A5"/>
    <w:rsid w:val="00F5450A"/>
    <w:rsid w:val="00F54C7D"/>
    <w:rsid w:val="00F54DDD"/>
    <w:rsid w:val="00F56BF7"/>
    <w:rsid w:val="00F6457F"/>
    <w:rsid w:val="00F64725"/>
    <w:rsid w:val="00F64A2E"/>
    <w:rsid w:val="00F72302"/>
    <w:rsid w:val="00F72B37"/>
    <w:rsid w:val="00F7416C"/>
    <w:rsid w:val="00F77841"/>
    <w:rsid w:val="00F77C4A"/>
    <w:rsid w:val="00F8054F"/>
    <w:rsid w:val="00F81D49"/>
    <w:rsid w:val="00F81F28"/>
    <w:rsid w:val="00F9076A"/>
    <w:rsid w:val="00F917A0"/>
    <w:rsid w:val="00F94F04"/>
    <w:rsid w:val="00FA040B"/>
    <w:rsid w:val="00FA14EC"/>
    <w:rsid w:val="00FA430A"/>
    <w:rsid w:val="00FA6E3E"/>
    <w:rsid w:val="00FA6FCB"/>
    <w:rsid w:val="00FB0F94"/>
    <w:rsid w:val="00FB1491"/>
    <w:rsid w:val="00FB2312"/>
    <w:rsid w:val="00FB2EDF"/>
    <w:rsid w:val="00FB326A"/>
    <w:rsid w:val="00FB6D42"/>
    <w:rsid w:val="00FC04CB"/>
    <w:rsid w:val="00FC3B6D"/>
    <w:rsid w:val="00FC4271"/>
    <w:rsid w:val="00FC60A8"/>
    <w:rsid w:val="00FC7ECC"/>
    <w:rsid w:val="00FD1D5C"/>
    <w:rsid w:val="00FD28AD"/>
    <w:rsid w:val="00FD3BD1"/>
    <w:rsid w:val="00FE2985"/>
    <w:rsid w:val="00FE2B9E"/>
    <w:rsid w:val="00FE4F4A"/>
    <w:rsid w:val="00FE5041"/>
    <w:rsid w:val="00FE59C0"/>
    <w:rsid w:val="00FE608E"/>
    <w:rsid w:val="00FF2F34"/>
    <w:rsid w:val="00FF3CEB"/>
    <w:rsid w:val="00FF3FA2"/>
    <w:rsid w:val="00FF4F26"/>
    <w:rsid w:val="00FF5094"/>
    <w:rsid w:val="00FF5B24"/>
    <w:rsid w:val="00FF5E93"/>
    <w:rsid w:val="00FF66FA"/>
    <w:rsid w:val="471F23AE"/>
  </w:rsids>
  <m:mathPr>
    <m:mathFont m:val="Cambria Math"/>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14:docId w14:val="771122EE"/>
  <w15:docId w15:val="{675C3A5E-34ED-414C-89A4-DF92F7EB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B067B"/>
    <w:rPr>
      <w:rFonts w:asciiTheme="minorHAnsi" w:hAnsiTheme="minorHAnsi"/>
      <w:sz w:val="22"/>
      <w:lang w:val="en-US" w:eastAsia="en-US"/>
    </w:rPr>
  </w:style>
  <w:style w:type="paragraph" w:styleId="Heading1">
    <w:name w:val="heading 1"/>
    <w:basedOn w:val="Normal"/>
    <w:next w:val="Normal"/>
    <w:link w:val="Heading1Char"/>
    <w:autoRedefine/>
    <w:qFormat/>
    <w:rsid w:val="00A61F37"/>
    <w:pPr>
      <w:numPr>
        <w:numId w:val="4"/>
      </w:numPr>
      <w:spacing w:before="120" w:after="120"/>
      <w:ind w:left="432" w:hanging="432"/>
      <w:outlineLvl w:val="0"/>
    </w:pPr>
    <w:rPr>
      <w:rFonts w:ascii="Calibri" w:hAnsi="Calibri" w:cs="Calibri"/>
      <w:color w:val="0070C0"/>
      <w:sz w:val="28"/>
      <w:szCs w:val="28"/>
    </w:rPr>
  </w:style>
  <w:style w:type="paragraph" w:styleId="Heading2">
    <w:name w:val="heading 2"/>
    <w:basedOn w:val="Heading1"/>
    <w:next w:val="Normal"/>
    <w:link w:val="Heading2Char"/>
    <w:autoRedefine/>
    <w:unhideWhenUsed/>
    <w:qFormat/>
    <w:rsid w:val="00EE1EA6"/>
    <w:pPr>
      <w:numPr>
        <w:ilvl w:val="1"/>
      </w:numPr>
      <w:ind w:left="432" w:hanging="432"/>
      <w:outlineLvl w:val="1"/>
    </w:pPr>
  </w:style>
  <w:style w:type="paragraph" w:styleId="Heading3">
    <w:name w:val="heading 3"/>
    <w:basedOn w:val="Heading2"/>
    <w:next w:val="Normal"/>
    <w:link w:val="Heading3Char"/>
    <w:autoRedefine/>
    <w:unhideWhenUsed/>
    <w:qFormat/>
    <w:rsid w:val="00837D3D"/>
    <w:pPr>
      <w:numPr>
        <w:ilvl w:val="2"/>
      </w:numPr>
      <w:ind w:left="720"/>
      <w:outlineLvl w:val="2"/>
    </w:pPr>
    <w:rPr>
      <w:color w:val="000000" w:themeColor="text1"/>
      <w:sz w:val="22"/>
      <w:szCs w:val="22"/>
    </w:rPr>
  </w:style>
  <w:style w:type="paragraph" w:styleId="Heading4">
    <w:name w:val="heading 4"/>
    <w:basedOn w:val="Heading3"/>
    <w:next w:val="Normal"/>
    <w:link w:val="Heading4Char"/>
    <w:autoRedefine/>
    <w:unhideWhenUsed/>
    <w:qFormat/>
    <w:rsid w:val="001523EC"/>
    <w:pPr>
      <w:numPr>
        <w:ilvl w:val="3"/>
      </w:numPr>
      <w:ind w:left="1584" w:hanging="864"/>
      <w:outlineLvl w:val="3"/>
    </w:pPr>
  </w:style>
  <w:style w:type="paragraph" w:styleId="Heading5">
    <w:name w:val="heading 5"/>
    <w:basedOn w:val="Normal"/>
    <w:next w:val="Normal"/>
    <w:link w:val="Heading5Char"/>
    <w:unhideWhenUsed/>
    <w:rsid w:val="00190E19"/>
    <w:pPr>
      <w:keepNext/>
      <w:keepLines/>
      <w:numPr>
        <w:ilvl w:val="4"/>
        <w:numId w:val="5"/>
      </w:numPr>
      <w:spacing w:before="40"/>
      <w:outlineLvl w:val="4"/>
    </w:pPr>
    <w:rPr>
      <w:rFonts w:eastAsiaTheme="majorEastAsia" w:cstheme="majorBidi"/>
      <w:b/>
    </w:rPr>
  </w:style>
  <w:style w:type="paragraph" w:styleId="Heading6">
    <w:name w:val="heading 6"/>
    <w:basedOn w:val="Normal"/>
    <w:next w:val="Normal"/>
    <w:link w:val="Heading6Char"/>
    <w:unhideWhenUsed/>
    <w:rsid w:val="003B38C7"/>
    <w:pPr>
      <w:keepNext/>
      <w:keepLines/>
      <w:numPr>
        <w:ilvl w:val="5"/>
        <w:numId w:val="5"/>
      </w:numPr>
      <w:spacing w:before="40"/>
      <w:outlineLvl w:val="5"/>
    </w:pPr>
    <w:rPr>
      <w:rFonts w:asciiTheme="majorHAnsi" w:eastAsiaTheme="majorEastAsia" w:hAnsiTheme="majorHAnsi" w:cstheme="majorBidi"/>
      <w:color w:val="003A65" w:themeColor="accent1" w:themeShade="7F"/>
    </w:rPr>
  </w:style>
  <w:style w:type="paragraph" w:styleId="Heading7">
    <w:name w:val="heading 7"/>
    <w:basedOn w:val="Normal"/>
    <w:next w:val="Normal"/>
    <w:link w:val="Heading7Char"/>
    <w:unhideWhenUsed/>
    <w:rsid w:val="003B38C7"/>
    <w:pPr>
      <w:keepNext/>
      <w:keepLines/>
      <w:numPr>
        <w:ilvl w:val="6"/>
        <w:numId w:val="5"/>
      </w:numPr>
      <w:spacing w:before="40"/>
      <w:outlineLvl w:val="6"/>
    </w:pPr>
    <w:rPr>
      <w:rFonts w:asciiTheme="majorHAnsi" w:eastAsiaTheme="majorEastAsia" w:hAnsiTheme="majorHAnsi" w:cstheme="majorBidi"/>
      <w:i/>
      <w:iCs/>
      <w:color w:val="003A65" w:themeColor="accent1" w:themeShade="7F"/>
    </w:rPr>
  </w:style>
  <w:style w:type="paragraph" w:styleId="Heading8">
    <w:name w:val="heading 8"/>
    <w:basedOn w:val="Normal"/>
    <w:next w:val="Normal"/>
    <w:link w:val="Heading8Char"/>
    <w:unhideWhenUsed/>
    <w:rsid w:val="003B38C7"/>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B067B"/>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qFormat/>
    <w:rsid w:val="00363C0C"/>
    <w:pPr>
      <w:framePr w:w="9979" w:h="567" w:hRule="atLeast" w:wrap="notBeside" w:vAnchor="page" w:hAnchor="page" w:x="1736" w:yAlign="bottom"/>
      <w:spacing w:line="180" w:lineRule="exact"/>
    </w:pPr>
    <w:rPr>
      <w:rFonts w:cs="Calibri"/>
      <w:noProof/>
      <w:sz w:val="16"/>
      <w:szCs w:val="16"/>
    </w:rPr>
  </w:style>
  <w:style w:type="paragraph" w:customStyle="1" w:styleId="Emphasis1">
    <w:name w:val="Emphasis 1"/>
    <w:basedOn w:val="Normal"/>
    <w:qFormat/>
    <w:rsid w:val="00363C0C"/>
    <w:rPr>
      <w:i/>
    </w:rPr>
  </w:style>
  <w:style w:type="paragraph" w:customStyle="1" w:styleId="Emphasis2">
    <w:name w:val="Emphasis 2"/>
    <w:basedOn w:val="Normal"/>
    <w:qFormat/>
    <w:rsid w:val="00363C0C"/>
    <w:rPr>
      <w:b/>
    </w:rPr>
  </w:style>
  <w:style w:type="paragraph" w:styleId="BalloonText">
    <w:name w:val="Balloon Text"/>
    <w:basedOn w:val="Normal"/>
    <w:link w:val="BalloonTextChar"/>
    <w:rsid w:val="00A86808"/>
    <w:rPr>
      <w:rFonts w:ascii="Tahoma" w:hAnsi="Tahoma" w:cs="Tahoma"/>
      <w:sz w:val="16"/>
      <w:szCs w:val="16"/>
    </w:rPr>
  </w:style>
  <w:style w:type="character" w:customStyle="1" w:styleId="BalloonTextChar">
    <w:name w:val="Balloon Text Char"/>
    <w:basedOn w:val="DefaultParagraphFont"/>
    <w:link w:val="BalloonText"/>
    <w:rsid w:val="00A86808"/>
    <w:rPr>
      <w:rFonts w:ascii="Tahoma" w:hAnsi="Tahoma" w:cs="Tahoma"/>
      <w:sz w:val="16"/>
      <w:szCs w:val="16"/>
      <w:lang w:val="en-US"/>
    </w:rPr>
  </w:style>
  <w:style w:type="paragraph" w:styleId="NormalWeb">
    <w:name w:val="Normal (Web)"/>
    <w:basedOn w:val="Normal"/>
    <w:uiPriority w:val="99"/>
    <w:unhideWhenUsed/>
    <w:rsid w:val="00363C0C"/>
    <w:pPr>
      <w:spacing w:before="100" w:beforeAutospacing="1" w:after="100" w:afterAutospacing="1"/>
    </w:pPr>
    <w:rPr>
      <w:rFonts w:ascii="Times New Roman" w:hAnsi="Times New Roman" w:eastAsiaTheme="minorEastAsia"/>
      <w:sz w:val="24"/>
      <w:szCs w:val="24"/>
      <w:lang w:eastAsia="nl-NL"/>
    </w:rPr>
  </w:style>
  <w:style w:type="character" w:customStyle="1" w:styleId="Heading2Char">
    <w:name w:val="Heading 2 Char"/>
    <w:basedOn w:val="DefaultParagraphFont"/>
    <w:link w:val="Heading2"/>
    <w:rsid w:val="00EE1EA6"/>
    <w:rPr>
      <w:rFonts w:ascii="Calibri" w:hAnsi="Calibri" w:cs="Calibri"/>
      <w:color w:val="0070C0"/>
      <w:sz w:val="28"/>
      <w:szCs w:val="28"/>
      <w:lang w:val="en-US" w:eastAsia="en-US"/>
    </w:rPr>
  </w:style>
  <w:style w:type="numbering" w:customStyle="1" w:styleId="Philipsbullets">
    <w:name w:val="Philips bullets"/>
    <w:basedOn w:val="NoList"/>
    <w:rsid w:val="00C114F5"/>
    <w:pPr>
      <w:numPr>
        <w:numId w:val="1"/>
      </w:numPr>
    </w:pPr>
  </w:style>
  <w:style w:type="paragraph" w:styleId="ListParagraph">
    <w:name w:val="List Paragraph"/>
    <w:basedOn w:val="Normal"/>
    <w:link w:val="ListParagraphChar"/>
    <w:uiPriority w:val="34"/>
    <w:qFormat/>
    <w:rsid w:val="00DF362B"/>
    <w:pPr>
      <w:numPr>
        <w:numId w:val="2"/>
      </w:numPr>
      <w:ind w:left="288" w:hanging="288"/>
      <w:contextualSpacing/>
    </w:pPr>
    <w:rPr>
      <w:rFonts w:eastAsiaTheme="minorEastAsia"/>
      <w:szCs w:val="24"/>
      <w:lang w:eastAsia="nl-NL"/>
    </w:rPr>
  </w:style>
  <w:style w:type="paragraph" w:customStyle="1" w:styleId="Emphasis3">
    <w:name w:val="Emphasis 3"/>
    <w:basedOn w:val="Normal"/>
    <w:qFormat/>
    <w:rsid w:val="00363C0C"/>
    <w:rPr>
      <w:color w:val="0077CC" w:themeColor="accent1"/>
    </w:rPr>
  </w:style>
  <w:style w:type="character" w:customStyle="1" w:styleId="FooterChar">
    <w:name w:val="Footer Char"/>
    <w:basedOn w:val="DefaultParagraphFont"/>
    <w:link w:val="Footer"/>
    <w:uiPriority w:val="99"/>
    <w:rsid w:val="00363C0C"/>
    <w:rPr>
      <w:rFonts w:ascii="Calibri" w:hAnsi="Calibri" w:cs="Calibri"/>
      <w:noProof/>
      <w:sz w:val="16"/>
      <w:szCs w:val="16"/>
      <w:lang w:val="en-US"/>
    </w:rPr>
  </w:style>
  <w:style w:type="character" w:styleId="Hyperlink">
    <w:name w:val="Hyperlink"/>
    <w:basedOn w:val="DefaultParagraphFont"/>
    <w:uiPriority w:val="99"/>
    <w:unhideWhenUsed/>
    <w:rsid w:val="00176325"/>
    <w:rPr>
      <w:color w:val="00619F" w:themeColor="hyperlink"/>
      <w:u w:val="single"/>
    </w:rPr>
  </w:style>
  <w:style w:type="character" w:customStyle="1" w:styleId="HeaderChar">
    <w:name w:val="Header Char"/>
    <w:basedOn w:val="DefaultParagraphFont"/>
    <w:link w:val="Header"/>
    <w:uiPriority w:val="99"/>
    <w:rsid w:val="00C4442C"/>
    <w:rPr>
      <w:rFonts w:ascii="Calibri" w:hAnsi="Calibri"/>
      <w:sz w:val="22"/>
      <w:lang w:val="en-US"/>
    </w:rPr>
  </w:style>
  <w:style w:type="character" w:customStyle="1" w:styleId="Heading3Char">
    <w:name w:val="Heading 3 Char"/>
    <w:basedOn w:val="DefaultParagraphFont"/>
    <w:link w:val="Heading3"/>
    <w:rsid w:val="00837D3D"/>
    <w:rPr>
      <w:rFonts w:ascii="Calibri" w:hAnsi="Calibri" w:cs="Calibri"/>
      <w:color w:val="000000" w:themeColor="text1"/>
      <w:sz w:val="22"/>
      <w:szCs w:val="22"/>
      <w:lang w:val="en-US" w:eastAsia="en-US"/>
    </w:rPr>
  </w:style>
  <w:style w:type="paragraph" w:styleId="Macro">
    <w:name w:val="macro"/>
    <w:link w:val="MacroTextChar"/>
    <w:semiHidden/>
    <w:unhideWhenUsed/>
    <w:rsid w:val="00363C0C"/>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val="en-US"/>
    </w:rPr>
  </w:style>
  <w:style w:type="character" w:customStyle="1" w:styleId="MacroTextChar">
    <w:name w:val="Macro Text Char"/>
    <w:basedOn w:val="DefaultParagraphFont"/>
    <w:link w:val="Macro"/>
    <w:semiHidden/>
    <w:rsid w:val="00363C0C"/>
    <w:rPr>
      <w:rFonts w:ascii="Consolas" w:hAnsi="Consolas"/>
      <w:lang w:val="en-US"/>
    </w:rPr>
  </w:style>
  <w:style w:type="character" w:customStyle="1" w:styleId="Heading4Char">
    <w:name w:val="Heading 4 Char"/>
    <w:basedOn w:val="DefaultParagraphFont"/>
    <w:link w:val="Heading4"/>
    <w:rsid w:val="001523EC"/>
    <w:rPr>
      <w:rFonts w:ascii="Calibri" w:hAnsi="Calibri" w:cs="Calibri"/>
      <w:color w:val="000000" w:themeColor="text1"/>
      <w:sz w:val="22"/>
      <w:szCs w:val="22"/>
      <w:lang w:val="en-US" w:eastAsia="en-US"/>
    </w:rPr>
  </w:style>
  <w:style w:type="character" w:customStyle="1" w:styleId="Heading1Char">
    <w:name w:val="Heading 1 Char"/>
    <w:link w:val="Heading1"/>
    <w:rsid w:val="00A61F37"/>
    <w:rPr>
      <w:rFonts w:ascii="Calibri" w:hAnsi="Calibri" w:cs="Calibri"/>
      <w:color w:val="0070C0"/>
      <w:sz w:val="28"/>
      <w:szCs w:val="28"/>
      <w:lang w:val="en-US" w:eastAsia="en-US"/>
    </w:rPr>
  </w:style>
  <w:style w:type="numbering" w:customStyle="1" w:styleId="Headinglist">
    <w:name w:val="Heading list"/>
    <w:uiPriority w:val="99"/>
    <w:rsid w:val="001B3DDF"/>
    <w:pPr>
      <w:numPr>
        <w:numId w:val="3"/>
      </w:numPr>
    </w:pPr>
  </w:style>
  <w:style w:type="table" w:styleId="TableGrid">
    <w:name w:val="Table Grid"/>
    <w:basedOn w:val="TableNormal"/>
    <w:uiPriority w:val="39"/>
    <w:rsid w:val="00331C3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andFooter">
    <w:name w:val="Header and Footer"/>
    <w:basedOn w:val="Normal"/>
    <w:link w:val="HeaderandFooterChar"/>
    <w:qFormat/>
    <w:rsid w:val="00331C38"/>
    <w:pPr>
      <w:tabs>
        <w:tab w:val="right" w:pos="14742"/>
      </w:tabs>
      <w:jc w:val="right"/>
    </w:pPr>
    <w:rPr>
      <w:rFonts w:cs="Calibri"/>
      <w:sz w:val="18"/>
      <w:szCs w:val="18"/>
    </w:rPr>
  </w:style>
  <w:style w:type="character" w:customStyle="1" w:styleId="HeaderandFooterChar">
    <w:name w:val="Header and Footer Char"/>
    <w:basedOn w:val="DefaultParagraphFont"/>
    <w:link w:val="HeaderandFooter"/>
    <w:rsid w:val="00331C38"/>
    <w:rPr>
      <w:rFonts w:asciiTheme="minorHAnsi" w:hAnsiTheme="minorHAnsi" w:cs="Calibri"/>
      <w:sz w:val="18"/>
      <w:szCs w:val="18"/>
      <w:lang w:val="en-US" w:eastAsia="en-US"/>
    </w:rPr>
  </w:style>
  <w:style w:type="paragraph" w:customStyle="1" w:styleId="Guidance">
    <w:name w:val="Guidance"/>
    <w:basedOn w:val="Normal"/>
    <w:link w:val="GuidanceChar"/>
    <w:uiPriority w:val="1"/>
    <w:qFormat/>
    <w:rsid w:val="001C1676"/>
    <w:rPr>
      <w:rFonts w:ascii="Calibri" w:hAnsi="Calibri"/>
      <w:color w:val="800080"/>
    </w:rPr>
  </w:style>
  <w:style w:type="character" w:customStyle="1" w:styleId="GuidanceChar">
    <w:name w:val="Guidance Char"/>
    <w:basedOn w:val="DefaultParagraphFont"/>
    <w:link w:val="Guidance"/>
    <w:uiPriority w:val="1"/>
    <w:rsid w:val="001C1676"/>
    <w:rPr>
      <w:rFonts w:ascii="Calibri" w:hAnsi="Calibri"/>
      <w:color w:val="800080"/>
      <w:sz w:val="22"/>
      <w:lang w:val="en-US" w:eastAsia="en-US"/>
    </w:rPr>
  </w:style>
  <w:style w:type="paragraph" w:styleId="NoSpacing">
    <w:name w:val="No Spacing"/>
    <w:uiPriority w:val="1"/>
    <w:qFormat/>
    <w:rsid w:val="004F4ADE"/>
    <w:rPr>
      <w:rFonts w:asciiTheme="minorHAnsi" w:eastAsiaTheme="minorHAnsi" w:hAnsiTheme="minorHAnsi" w:cstheme="minorBidi"/>
      <w:color w:val="000000" w:themeColor="text2"/>
      <w:lang w:val="en-US" w:eastAsia="en-US"/>
    </w:rPr>
  </w:style>
  <w:style w:type="character" w:styleId="CommentReference">
    <w:name w:val="annotation reference"/>
    <w:basedOn w:val="DefaultParagraphFont"/>
    <w:semiHidden/>
    <w:unhideWhenUsed/>
    <w:rsid w:val="008D6EA0"/>
    <w:rPr>
      <w:sz w:val="16"/>
      <w:szCs w:val="16"/>
    </w:rPr>
  </w:style>
  <w:style w:type="paragraph" w:styleId="CommentText">
    <w:name w:val="annotation text"/>
    <w:basedOn w:val="Normal"/>
    <w:link w:val="CommentTextChar"/>
    <w:unhideWhenUsed/>
    <w:rsid w:val="008D6EA0"/>
    <w:rPr>
      <w:sz w:val="20"/>
    </w:rPr>
  </w:style>
  <w:style w:type="character" w:customStyle="1" w:styleId="CommentTextChar">
    <w:name w:val="Comment Text Char"/>
    <w:basedOn w:val="DefaultParagraphFont"/>
    <w:link w:val="CommentText"/>
    <w:rsid w:val="008D6EA0"/>
    <w:rPr>
      <w:rFonts w:asciiTheme="minorHAnsi" w:hAnsiTheme="minorHAnsi"/>
      <w:lang w:val="nl-NL" w:eastAsia="en-US"/>
    </w:rPr>
  </w:style>
  <w:style w:type="paragraph" w:styleId="CommentSubject">
    <w:name w:val="annotation subject"/>
    <w:basedOn w:val="CommentText"/>
    <w:next w:val="CommentText"/>
    <w:link w:val="CommentSubjectChar"/>
    <w:semiHidden/>
    <w:unhideWhenUsed/>
    <w:rsid w:val="008D6EA0"/>
    <w:rPr>
      <w:b/>
      <w:bCs/>
    </w:rPr>
  </w:style>
  <w:style w:type="character" w:customStyle="1" w:styleId="CommentSubjectChar">
    <w:name w:val="Comment Subject Char"/>
    <w:basedOn w:val="CommentTextChar"/>
    <w:link w:val="CommentSubject"/>
    <w:semiHidden/>
    <w:rsid w:val="008D6EA0"/>
    <w:rPr>
      <w:rFonts w:asciiTheme="minorHAnsi" w:hAnsiTheme="minorHAnsi"/>
      <w:b/>
      <w:bCs/>
      <w:lang w:val="nl-NL" w:eastAsia="en-US"/>
    </w:rPr>
  </w:style>
  <w:style w:type="paragraph" w:styleId="Revision">
    <w:name w:val="Revision"/>
    <w:hidden/>
    <w:uiPriority w:val="99"/>
    <w:semiHidden/>
    <w:rsid w:val="00BC1DB9"/>
    <w:rPr>
      <w:rFonts w:asciiTheme="minorHAnsi" w:hAnsiTheme="minorHAnsi"/>
      <w:sz w:val="22"/>
      <w:lang w:val="nl-NL" w:eastAsia="en-US"/>
    </w:rPr>
  </w:style>
  <w:style w:type="character" w:customStyle="1" w:styleId="Heading5Char">
    <w:name w:val="Heading 5 Char"/>
    <w:basedOn w:val="DefaultParagraphFont"/>
    <w:link w:val="Heading5"/>
    <w:rsid w:val="00190E19"/>
    <w:rPr>
      <w:rFonts w:asciiTheme="minorHAnsi" w:eastAsiaTheme="majorEastAsia" w:hAnsiTheme="minorHAnsi" w:cstheme="majorBidi"/>
      <w:b/>
      <w:sz w:val="22"/>
      <w:lang w:val="en-US" w:eastAsia="en-US"/>
    </w:rPr>
  </w:style>
  <w:style w:type="character" w:customStyle="1" w:styleId="Heading8Char">
    <w:name w:val="Heading 8 Char"/>
    <w:basedOn w:val="DefaultParagraphFont"/>
    <w:link w:val="Heading8"/>
    <w:rsid w:val="003B38C7"/>
    <w:rPr>
      <w:rFonts w:asciiTheme="majorHAnsi" w:eastAsiaTheme="majorEastAsia" w:hAnsiTheme="majorHAnsi" w:cstheme="majorBidi"/>
      <w:color w:val="272727" w:themeColor="text1" w:themeTint="D8"/>
      <w:sz w:val="21"/>
      <w:szCs w:val="21"/>
      <w:lang w:val="en-US" w:eastAsia="en-US"/>
    </w:rPr>
  </w:style>
  <w:style w:type="character" w:customStyle="1" w:styleId="Heading7Char">
    <w:name w:val="Heading 7 Char"/>
    <w:basedOn w:val="DefaultParagraphFont"/>
    <w:link w:val="Heading7"/>
    <w:rsid w:val="003B38C7"/>
    <w:rPr>
      <w:rFonts w:asciiTheme="majorHAnsi" w:eastAsiaTheme="majorEastAsia" w:hAnsiTheme="majorHAnsi" w:cstheme="majorBidi"/>
      <w:i/>
      <w:iCs/>
      <w:color w:val="003A65" w:themeColor="accent1" w:themeShade="7F"/>
      <w:sz w:val="22"/>
      <w:lang w:val="en-US" w:eastAsia="en-US"/>
    </w:rPr>
  </w:style>
  <w:style w:type="character" w:customStyle="1" w:styleId="Heading6Char">
    <w:name w:val="Heading 6 Char"/>
    <w:basedOn w:val="DefaultParagraphFont"/>
    <w:link w:val="Heading6"/>
    <w:rsid w:val="003B38C7"/>
    <w:rPr>
      <w:rFonts w:asciiTheme="majorHAnsi" w:eastAsiaTheme="majorEastAsia" w:hAnsiTheme="majorHAnsi" w:cstheme="majorBidi"/>
      <w:color w:val="003A65" w:themeColor="accent1" w:themeShade="7F"/>
      <w:sz w:val="22"/>
      <w:lang w:val="en-US" w:eastAsia="en-US"/>
    </w:rPr>
  </w:style>
  <w:style w:type="character" w:customStyle="1" w:styleId="Heading9Char">
    <w:name w:val="Heading 9 Char"/>
    <w:basedOn w:val="DefaultParagraphFont"/>
    <w:link w:val="Heading9"/>
    <w:semiHidden/>
    <w:rsid w:val="001B067B"/>
    <w:rPr>
      <w:rFonts w:asciiTheme="majorHAnsi" w:eastAsiaTheme="majorEastAsia" w:hAnsiTheme="majorHAnsi" w:cstheme="majorBidi"/>
      <w:i/>
      <w:iCs/>
      <w:color w:val="272727" w:themeColor="text1" w:themeTint="D8"/>
      <w:sz w:val="21"/>
      <w:szCs w:val="21"/>
      <w:lang w:val="en-US" w:eastAsia="en-US"/>
    </w:rPr>
  </w:style>
  <w:style w:type="character" w:customStyle="1" w:styleId="ListParagraphChar">
    <w:name w:val="List Paragraph Char"/>
    <w:link w:val="ListParagraph"/>
    <w:uiPriority w:val="34"/>
    <w:rsid w:val="009437E0"/>
    <w:rPr>
      <w:rFonts w:asciiTheme="minorHAnsi" w:eastAsiaTheme="minorEastAsia" w:hAnsiTheme="minorHAnsi"/>
      <w:sz w:val="22"/>
      <w:szCs w:val="24"/>
      <w:lang w:val="en-US" w:eastAsia="nl-NL"/>
    </w:rPr>
  </w:style>
  <w:style w:type="paragraph" w:styleId="Caption">
    <w:name w:val="caption"/>
    <w:basedOn w:val="Normal"/>
    <w:next w:val="Normal"/>
    <w:unhideWhenUsed/>
    <w:qFormat/>
    <w:rsid w:val="00177CA7"/>
    <w:pPr>
      <w:spacing w:after="200"/>
    </w:pPr>
    <w:rPr>
      <w:i/>
      <w:iCs/>
      <w:color w:val="000000" w:themeColor="text2"/>
      <w:sz w:val="18"/>
      <w:szCs w:val="18"/>
    </w:rPr>
  </w:style>
  <w:style w:type="character" w:styleId="Emphasis">
    <w:name w:val="Emphasis"/>
    <w:basedOn w:val="DefaultParagraphFont"/>
    <w:uiPriority w:val="20"/>
    <w:qFormat/>
    <w:rsid w:val="002B29E3"/>
    <w:rPr>
      <w:i/>
      <w:iCs/>
    </w:rPr>
  </w:style>
  <w:style w:type="paragraph" w:customStyle="1" w:styleId="Style1">
    <w:name w:val="Style1"/>
    <w:basedOn w:val="ListParagraph"/>
    <w:link w:val="Style1Char"/>
    <w:qFormat/>
    <w:rsid w:val="00A0600B"/>
    <w:pPr>
      <w:numPr>
        <w:numId w:val="0"/>
      </w:numPr>
      <w:spacing w:after="60"/>
      <w:contextualSpacing w:val="0"/>
    </w:pPr>
    <w:rPr>
      <w:lang w:eastAsia="en-US"/>
    </w:rPr>
  </w:style>
  <w:style w:type="character" w:customStyle="1" w:styleId="Style1Char">
    <w:name w:val="Style1 Char"/>
    <w:basedOn w:val="ListParagraphChar"/>
    <w:link w:val="Style1"/>
    <w:rsid w:val="00A0600B"/>
    <w:rPr>
      <w:rFonts w:asciiTheme="minorHAnsi" w:eastAsiaTheme="minorEastAsia" w:hAnsiTheme="minorHAnsi"/>
      <w:sz w:val="22"/>
      <w:szCs w:val="24"/>
      <w:lang w:val="en-US" w:eastAsia="en-US"/>
    </w:rPr>
  </w:style>
  <w:style w:type="paragraph" w:styleId="BodyText2">
    <w:name w:val="Body Text 2"/>
    <w:basedOn w:val="Normal"/>
    <w:link w:val="BodyText2Char"/>
    <w:unhideWhenUsed/>
    <w:rsid w:val="00464AC9"/>
    <w:pPr>
      <w:spacing w:after="120" w:line="480" w:lineRule="auto"/>
    </w:pPr>
  </w:style>
  <w:style w:type="character" w:customStyle="1" w:styleId="BodyText2Char">
    <w:name w:val="Body Text 2 Char"/>
    <w:basedOn w:val="DefaultParagraphFont"/>
    <w:link w:val="BodyText2"/>
    <w:rsid w:val="00464AC9"/>
    <w:rPr>
      <w:rFonts w:asciiTheme="minorHAnsi" w:hAnsiTheme="minorHAnsi"/>
      <w:sz w:val="22"/>
      <w:lang w:val="en-US" w:eastAsia="en-US"/>
    </w:rPr>
  </w:style>
  <w:style w:type="numbering" w:customStyle="1" w:styleId="CurrentList1">
    <w:name w:val="Current List1"/>
    <w:uiPriority w:val="99"/>
    <w:rsid w:val="00550CE1"/>
    <w:pPr>
      <w:numPr>
        <w:numId w:val="7"/>
      </w:numPr>
    </w:pPr>
  </w:style>
  <w:style w:type="paragraph" w:styleId="TOCHeading">
    <w:name w:val="TOC Heading"/>
    <w:basedOn w:val="Heading1"/>
    <w:next w:val="Normal"/>
    <w:uiPriority w:val="39"/>
    <w:unhideWhenUsed/>
    <w:qFormat/>
    <w:rsid w:val="0042335A"/>
    <w:pPr>
      <w:numPr>
        <w:numId w:val="0"/>
      </w:numPr>
      <w:spacing w:line="259" w:lineRule="auto"/>
      <w:outlineLvl w:val="9"/>
    </w:pPr>
    <w:rPr>
      <w:rFonts w:asciiTheme="majorHAnsi" w:eastAsiaTheme="majorEastAsia" w:hAnsiTheme="majorHAnsi" w:cstheme="majorBidi"/>
      <w:bCs/>
      <w:color w:val="005898" w:themeColor="accent1" w:themeShade="BF"/>
      <w:sz w:val="32"/>
      <w:szCs w:val="32"/>
    </w:rPr>
  </w:style>
  <w:style w:type="paragraph" w:styleId="TOC1">
    <w:name w:val="toc 1"/>
    <w:basedOn w:val="Normal"/>
    <w:next w:val="Normal"/>
    <w:autoRedefine/>
    <w:uiPriority w:val="39"/>
    <w:unhideWhenUsed/>
    <w:rsid w:val="0042335A"/>
    <w:pPr>
      <w:spacing w:after="100"/>
    </w:pPr>
  </w:style>
  <w:style w:type="paragraph" w:styleId="TOC3">
    <w:name w:val="toc 3"/>
    <w:basedOn w:val="Normal"/>
    <w:next w:val="Normal"/>
    <w:autoRedefine/>
    <w:uiPriority w:val="39"/>
    <w:unhideWhenUsed/>
    <w:rsid w:val="0042335A"/>
    <w:pPr>
      <w:spacing w:after="100"/>
      <w:ind w:left="440"/>
    </w:pPr>
  </w:style>
  <w:style w:type="paragraph" w:styleId="TOC2">
    <w:name w:val="toc 2"/>
    <w:basedOn w:val="Normal"/>
    <w:next w:val="Normal"/>
    <w:autoRedefine/>
    <w:uiPriority w:val="39"/>
    <w:unhideWhenUsed/>
    <w:rsid w:val="0042335A"/>
    <w:pPr>
      <w:spacing w:after="100"/>
      <w:ind w:left="220"/>
    </w:pPr>
  </w:style>
  <w:style w:type="paragraph" w:customStyle="1" w:styleId="Doc-Text3">
    <w:name w:val="Doc-Text 3"/>
    <w:basedOn w:val="Normal"/>
    <w:rsid w:val="00D171F8"/>
    <w:pPr>
      <w:spacing w:after="120"/>
    </w:pPr>
    <w:rPr>
      <w:rFonts w:ascii="Calibri" w:eastAsia="SimSun" w:hAnsi="Calibri" w:cs="Calibri"/>
    </w:rPr>
  </w:style>
  <w:style w:type="paragraph" w:customStyle="1" w:styleId="Normal5Indent">
    <w:name w:val="Normal 5 Indent"/>
    <w:basedOn w:val="Heading3"/>
    <w:link w:val="Normal5IndentChar"/>
    <w:qFormat/>
    <w:rsid w:val="00EE1EA6"/>
    <w:pPr>
      <w:numPr>
        <w:ilvl w:val="0"/>
        <w:numId w:val="11"/>
      </w:numPr>
      <w:ind w:left="1944"/>
    </w:pPr>
  </w:style>
  <w:style w:type="character" w:customStyle="1" w:styleId="Normal5IndentChar">
    <w:name w:val="Normal 5 Indent Char"/>
    <w:basedOn w:val="Heading3Char"/>
    <w:link w:val="Normal5Indent"/>
    <w:rsid w:val="00EE1EA6"/>
    <w:rPr>
      <w:rFonts w:ascii="Calibri" w:hAnsi="Calibri" w:cs="Calibri"/>
      <w:color w:val="000000" w:themeColor="text1"/>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emf"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emf" /><Relationship Id="rId27" Type="http://schemas.openxmlformats.org/officeDocument/2006/relationships/image" Target="media/image17.emf" /><Relationship Id="rId28" Type="http://schemas.openxmlformats.org/officeDocument/2006/relationships/package" Target="embeddings/ooxmlPackage1.vsdx" /><Relationship Id="rId29" Type="http://schemas.openxmlformats.org/officeDocument/2006/relationships/hyperlink" Target="https://www.imdrf.org/sites/default/files/docs/ghtf/final/sg3/technical-docs/ghtf-sg3-n99-10-2004-qms-process-guidance-04010.pdf" TargetMode="External" /><Relationship Id="rId3" Type="http://schemas.openxmlformats.org/officeDocument/2006/relationships/fontTable" Target="fontTable.xml" /><Relationship Id="rId30" Type="http://schemas.openxmlformats.org/officeDocument/2006/relationships/hyperlink" Target="http://www.variation.com" TargetMode="External" /><Relationship Id="rId31" Type="http://schemas.openxmlformats.org/officeDocument/2006/relationships/hyperlink" Target="https://www.fda.gov/media/166672/download?attachment" TargetMode="External" /><Relationship Id="rId32" Type="http://schemas.openxmlformats.org/officeDocument/2006/relationships/hyperlink" Target="https://www.ecfr.gov/current/title-21/chapter-I/subchapter-H/part-820/subpart-A" TargetMode="External" /><Relationship Id="rId33" Type="http://schemas.openxmlformats.org/officeDocument/2006/relationships/hyperlink" Target="https://www.fda.gov/medical-devices/quality-system-qs-regulationmedical-device-current-good-manufacturing-practices-cgmp/medical-devices-current-good-manufacturing-practice-cgmp-final-rule-quality-system-regulation" TargetMode="External" /><Relationship Id="rId34" Type="http://schemas.openxmlformats.org/officeDocument/2006/relationships/hyperlink" Target="http://www.aami.org" TargetMode="External" /><Relationship Id="rId35" Type="http://schemas.openxmlformats.org/officeDocument/2006/relationships/hyperlink" Target="https://www.fda.gov/inspections-compliance-enforcement-and-criminal-investigations/inspection-guides/page-9" TargetMode="External" /><Relationship Id="rId36" Type="http://schemas.openxmlformats.org/officeDocument/2006/relationships/image" Target="media/image18.emf" /><Relationship Id="rId37" Type="http://schemas.openxmlformats.org/officeDocument/2006/relationships/image" Target="media/image19.emf" /><Relationship Id="rId38" Type="http://schemas.openxmlformats.org/officeDocument/2006/relationships/image" Target="media/image20.png" /><Relationship Id="rId39" Type="http://schemas.openxmlformats.org/officeDocument/2006/relationships/image" Target="media/image21.png" /><Relationship Id="rId4" Type="http://schemas.openxmlformats.org/officeDocument/2006/relationships/customXml" Target="../customXml/item1.xml" /><Relationship Id="rId40" Type="http://schemas.openxmlformats.org/officeDocument/2006/relationships/image" Target="media/image22.png" /><Relationship Id="rId41" Type="http://schemas.openxmlformats.org/officeDocument/2006/relationships/image" Target="media/image23.png" /><Relationship Id="rId42" Type="http://schemas.openxmlformats.org/officeDocument/2006/relationships/header" Target="header1.xml" /><Relationship Id="rId43" Type="http://schemas.openxmlformats.org/officeDocument/2006/relationships/footer" Target="footer1.xml" /><Relationship Id="rId44" Type="http://schemas.openxmlformats.org/officeDocument/2006/relationships/header" Target="header2.xml" /><Relationship Id="rId45" Type="http://schemas.openxmlformats.org/officeDocument/2006/relationships/footer" Target="footer2.xm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xml version="1.0" encoding="utf-8" standalone="yes"?><Relationships xmlns="http://schemas.openxmlformats.org/package/2006/relationships"><Relationship Id="rId1" Type="http://schemas.openxmlformats.org/officeDocument/2006/relationships/image" Target="media/image24.emf" /></Relationships>
</file>

<file path=word/_rels/header2.xml.rels><?xml version="1.0" encoding="utf-8" standalone="yes"?><Relationships xmlns="http://schemas.openxmlformats.org/package/2006/relationships"><Relationship Id="rId1" Type="http://schemas.openxmlformats.org/officeDocument/2006/relationships/image" Target="media/image24.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310184843\AppData\Local\Temp\Templafy\WordVsto\if5eq4f5.dotx" TargetMode="External" /></Relationships>
</file>

<file path=word/theme/theme1.xml><?xml version="1.0" encoding="utf-8"?>
<a:theme xmlns:a="http://schemas.openxmlformats.org/drawingml/2006/main" name="philips2021">
  <a:themeElements>
    <a:clrScheme name="Custom 83">
      <a:dk1>
        <a:srgbClr val="000000"/>
      </a:dk1>
      <a:lt1>
        <a:srgbClr val="FFFFFF"/>
      </a:lt1>
      <a:dk2>
        <a:srgbClr val="000000"/>
      </a:dk2>
      <a:lt2>
        <a:srgbClr val="FFFFFF"/>
      </a:lt2>
      <a:accent1>
        <a:srgbClr val="0077CC"/>
      </a:accent1>
      <a:accent2>
        <a:srgbClr val="269A91"/>
      </a:accent2>
      <a:accent3>
        <a:srgbClr val="16973A"/>
      </a:accent3>
      <a:accent4>
        <a:srgbClr val="DE7C00"/>
      </a:accent4>
      <a:accent5>
        <a:srgbClr val="D10077"/>
      </a:accent5>
      <a:accent6>
        <a:srgbClr val="8345BA"/>
      </a:accent6>
      <a:hlink>
        <a:srgbClr val="00619F"/>
      </a:hlink>
      <a:folHlink>
        <a:srgbClr val="00629F"/>
      </a:folHlink>
    </a:clrScheme>
    <a:fontScheme name="Custom 12">
      <a:majorFont>
        <a:latin typeface="Calibri Light"/>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89C4"/>
        </a:solidFill>
        <a:ln w="25400" cap="flat" cmpd="sng" algn="ctr">
          <a:solidFill>
            <a:srgbClr val="0089C4"/>
          </a:solidFill>
          <a:prstDash val="solid"/>
        </a:ln>
        <a:effectLst/>
      </a:spPr>
      <a:bodyPr rtlCol="0" anchor="ctr"/>
      <a:lstStyle>
        <a:defPPr algn="ctr">
          <a:defRPr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philips2021" id="{F4FA1CBD-B4FA-3141-997B-35DB3EA36268}" vid="{291F0405-4863-E745-A736-788B7935D7AC}"/>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TemplafyTemplateConfiguration><![CDATA[{"elementsMetadata":[],"transformationConfigurations":[],"templateName":"blank","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bda78b-ea73-43c8-ad9e-2033ea9ec4d7">
      <Terms xmlns="http://schemas.microsoft.com/office/infopath/2007/PartnerControls"/>
    </lcf76f155ced4ddcb4097134ff3c332f>
    <TaxCatchAll xmlns="49919dca-d9c1-492f-bd36-8a887e31a6e3"/>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CF76BF93ECB034C83A19D2EAA01C0FF" ma:contentTypeVersion="16" ma:contentTypeDescription="Create a new document." ma:contentTypeScope="" ma:versionID="25ddf80b788660a1d420424be1910bbd">
  <xsd:schema xmlns:xsd="http://www.w3.org/2001/XMLSchema" xmlns:xs="http://www.w3.org/2001/XMLSchema" xmlns:p="http://schemas.microsoft.com/office/2006/metadata/properties" xmlns:ns2="94bda78b-ea73-43c8-ad9e-2033ea9ec4d7" xmlns:ns3="2fc278bf-3243-4f3a-b540-a2a33fdf4ead" xmlns:ns4="49919dca-d9c1-492f-bd36-8a887e31a6e3" targetNamespace="http://schemas.microsoft.com/office/2006/metadata/properties" ma:root="true" ma:fieldsID="e3025b2faf0b9806e819096fa5a549aa" ns2:_="" ns3:_="" ns4:_="">
    <xsd:import namespace="94bda78b-ea73-43c8-ad9e-2033ea9ec4d7"/>
    <xsd:import namespace="2fc278bf-3243-4f3a-b540-a2a33fdf4ead"/>
    <xsd:import namespace="49919dca-d9c1-492f-bd36-8a887e31a6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da78b-ea73-43c8-ad9e-2033ea9ec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0374fb-a6cc-4854-989f-c1d94a7967e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c278bf-3243-4f3a-b540-a2a33fdf4e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919dca-d9c1-492f-bd36-8a887e31a6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47c956-3aff-4872-9744-2bb5f9c16f0d}" ma:internalName="TaxCatchAll" ma:showField="CatchAllData" ma:web="2fc278bf-3243-4f3a-b540-a2a33fdf4e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haredContentType xmlns="Microsoft.SharePoint.Taxonomy.ContentTypeSync" SourceId="e40374fb-a6cc-4854-989f-c1d94a7967ee" ContentTypeId="0x01" PreviousValue="false"/>
</file>

<file path=customXml/itemProps1.xml><?xml version="1.0" encoding="utf-8"?>
<ds:datastoreItem xmlns:ds="http://schemas.openxmlformats.org/officeDocument/2006/customXml" ds:itemID="{0BFE5B46-258F-4D55-A065-A66E3224440F}">
  <ds:schemaRefs/>
</ds:datastoreItem>
</file>

<file path=customXml/itemProps2.xml><?xml version="1.0" encoding="utf-8"?>
<ds:datastoreItem xmlns:ds="http://schemas.openxmlformats.org/officeDocument/2006/customXml" ds:itemID="{588F483A-6751-4EC4-B3C4-453CB9CA0C65}">
  <ds:schemaRefs/>
</ds:datastoreItem>
</file>

<file path=customXml/itemProps3.xml><?xml version="1.0" encoding="utf-8"?>
<ds:datastoreItem xmlns:ds="http://schemas.openxmlformats.org/officeDocument/2006/customXml" ds:itemID="{67D0426E-2C94-431A-9FFB-E9C85DD39BCD}">
  <ds:schemaRefs>
    <ds:schemaRef ds:uri="http://schemas.microsoft.com/sharepoint/v3/contenttype/forms"/>
  </ds:schemaRefs>
</ds:datastoreItem>
</file>

<file path=customXml/itemProps4.xml><?xml version="1.0" encoding="utf-8"?>
<ds:datastoreItem xmlns:ds="http://schemas.openxmlformats.org/officeDocument/2006/customXml" ds:itemID="{C181BAD3-D615-4BFE-806F-F2F44F1E3EBC}">
  <ds:schemaRefs>
    <ds:schemaRef ds:uri="http://schemas.microsoft.com/office/2006/metadata/properties"/>
    <ds:schemaRef ds:uri="http://schemas.microsoft.com/office/infopath/2007/PartnerControls"/>
    <ds:schemaRef ds:uri="94bda78b-ea73-43c8-ad9e-2033ea9ec4d7"/>
    <ds:schemaRef ds:uri="49919dca-d9c1-492f-bd36-8a887e31a6e3"/>
  </ds:schemaRefs>
</ds:datastoreItem>
</file>

<file path=customXml/itemProps5.xml><?xml version="1.0" encoding="utf-8"?>
<ds:datastoreItem xmlns:ds="http://schemas.openxmlformats.org/officeDocument/2006/customXml" ds:itemID="{03335CCF-C990-40AD-98D8-56EF22A71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da78b-ea73-43c8-ad9e-2033ea9ec4d7"/>
    <ds:schemaRef ds:uri="2fc278bf-3243-4f3a-b540-a2a33fdf4ead"/>
    <ds:schemaRef ds:uri="49919dca-d9c1-492f-bd36-8a887e31a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99D61E9-ED78-461A-BD02-B898AE892EED}">
  <ds:schemaRefs>
    <ds:schemaRef ds:uri="http://schemas.openxmlformats.org/officeDocument/2006/bibliography"/>
  </ds:schemaRefs>
</ds:datastoreItem>
</file>

<file path=customXml/itemProps7.xml><?xml version="1.0" encoding="utf-8"?>
<ds:datastoreItem xmlns:ds="http://schemas.openxmlformats.org/officeDocument/2006/customXml" ds:itemID="{F7B6B00A-F552-4BC0-BB9C-B2DEFAE3550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if5eq4f5</Template>
  <TotalTime>0</TotalTime>
  <Pages>63</Pages>
  <Words>21918</Words>
  <Characters>124938</Characters>
  <Application>Microsoft Office Word</Application>
  <DocSecurity>0</DocSecurity>
  <Lines>1041</Lines>
  <Paragraphs>293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External Process Validation and Sampling guideline</vt:lpstr>
      <vt:lpstr>Purpose</vt:lpstr>
      <vt:lpstr>Scope</vt:lpstr>
      <vt:lpstr>Process Validation Overview </vt:lpstr>
      <vt:lpstr>    Process Validation Elements</vt:lpstr>
      <vt:lpstr>        Installation Qualification (IQ): All equipment used in the manufacturing and tes</vt:lpstr>
      <vt:lpstr>        Test Method Validation (TMV): Test Method Validation (TMV) is required for the f</vt:lpstr>
      <vt:lpstr>        Operational Qualification (OQ): The purpose of the Operational Qualification (OQ</vt:lpstr>
      <vt:lpstr>        Performance Qualification (PQ): The purpose of Performance Qualification (PQ) is</vt:lpstr>
      <vt:lpstr>        Figure 1 depicts an example of the equipment’s operating range that is qualified</vt:lpstr>
      <vt:lpstr>        Additional points to consider for process validation are the use of statisticall</vt:lpstr>
      <vt:lpstr>    Critical Quality Attributes </vt:lpstr>
      <vt:lpstr>        Philips uses a Critical Quality Attribute (CQA) classification scheme to priorit</vt:lpstr>
      <vt:lpstr>        Critical Quality Attributes are either Critical to Safety (CTS), Critical to Qua</vt:lpstr>
      <vt:lpstr>        When a non-CTQ, non-CTS characteristic should be inspected in routine production</vt:lpstr>
      <vt:lpstr>        When a product characteristic cannot be fully verified and when this characteris</vt:lpstr>
      <vt:lpstr>    Verification versus Validation Decision </vt:lpstr>
      <vt:lpstr>        Some processes cannot be verified by testing all critical quality attributes (CQ</vt:lpstr>
      <vt:lpstr>        In cases where all product characteristics are confirmed through Risk Management</vt:lpstr>
      <vt:lpstr>    Processes that are expected to be validated </vt:lpstr>
      <vt:lpstr>        Some process outputs can only be verified by a destructive test (bond strength, </vt:lpstr>
      <vt:lpstr>        Uncontrolled variation or changes to critical process parameters may alter the f</vt:lpstr>
      <vt:lpstr>        For some processes, verification alone may not be sufficient. For example, crimp</vt:lpstr>
      <vt:lpstr>    Full Verification during Commercial Manufacturing </vt:lpstr>
      <vt:lpstr>    Process Validation Expectations </vt:lpstr>
      <vt:lpstr>    Achieving the planned result </vt:lpstr>
      <vt:lpstr>    Process Validation Types</vt:lpstr>
      <vt:lpstr>        Prospective Validation </vt:lpstr>
      <vt:lpstr>        Retrospective Validation</vt:lpstr>
      <vt:lpstr>        Concurrent or Rolling Validation</vt:lpstr>
      <vt:lpstr>    Personnel Qualification</vt:lpstr>
      <vt:lpstr>        Validated processes must be executed by qualified personnel. </vt:lpstr>
      <vt:lpstr>        21 CFR 820.75 (b) (2) states that each manufacturer shall ensure that validated </vt:lpstr>
      <vt:lpstr>        CFR 820.25 (b) (2) states that personnel who perform verification and validation</vt:lpstr>
      <vt:lpstr>        Each person participating in the execution of validation activities must be trai</vt:lpstr>
      <vt:lpstr>Acronyms and Definitions</vt:lpstr>
      <vt:lpstr>Process Validation Plan</vt:lpstr>
      <vt:lpstr>Installation Qualification (IQ) </vt:lpstr>
      <vt:lpstr>    IQ Applicability</vt:lpstr>
      <vt:lpstr>        IQ is typically not required for hand tools like screw drivers, hammers, pliers,</vt:lpstr>
      <vt:lpstr>        Simple off-the-shelf catalog equipment without software and without utilities su</vt:lpstr>
      <vt:lpstr>        All other equipment requiring qualifications requires the application of an IQ p</vt:lpstr>
      <vt:lpstr>    IQ Prerequisites</vt:lpstr>
      <vt:lpstr>        The supplier should generate and approve equipment requirements before purchasin</vt:lpstr>
      <vt:lpstr>        The equipment manufacturer’s operating manual, user manual, installation instruc</vt:lpstr>
      <vt:lpstr>        A preventative maintenance (PM) process/procedure must be in place, the equipmen</vt:lpstr>
      <vt:lpstr>        A calibration process/procedure must be in place, and the applicable calibration</vt:lpstr>
      <vt:lpstr>        Completed software validation for equipment that uses custom software, and suppo</vt:lpstr>
      <vt:lpstr>        Approved IQ protocol, including defined acceptance criteria and training for per</vt:lpstr>
      <vt:lpstr>    Equipment Requirements</vt:lpstr>
      <vt:lpstr>        The supplier should create an equipment requirements document to describe the re</vt:lpstr>
      <vt:lpstr>        The COTS equipment may offer more capabilities than needed by the Philips suppli</vt:lpstr>
      <vt:lpstr>        During installation qualification, the supplier must verify that the purchased e</vt:lpstr>
      <vt:lpstr>    IQ Protocol </vt:lpstr>
      <vt:lpstr>        Purpose - The following is an example of an IQ purpose statement:</vt:lpstr>
      <vt:lpstr>        Scope - Describes the equipment including name, model number, serial number, and</vt:lpstr>
      <vt:lpstr>        Protocol Training - The protocol executors must be trained by the protocol autho</vt:lpstr>
      <vt:lpstr>        Equipment Location and Portability - The IQ protocol must describe the equipment</vt:lpstr>
      <vt:lpstr>        Documentation Check - Verification that applicable equipment documents are contr</vt:lpstr>
      <vt:lpstr>        Major Components Verification - As applicable, the major components are verified</vt:lpstr>
      <vt:lpstr>        Verification of Equipment Requirements - Verification that the equipment require</vt:lpstr>
      <vt:lpstr>        Safety Check - A safety check must be completed to ensure the equipment meets lo</vt:lpstr>
      <vt:lpstr>        Facility and Utilities Requirements (as applicable) - If the equipment is connec</vt:lpstr>
      <vt:lpstr>        Calibration - A calibration schedule must be established for each instrument or </vt:lpstr>
      <vt:lpstr>        Preventive Maintenance (PM), Corrective Maintenance, Adjustment and Cleaning - S</vt:lpstr>
      <vt:lpstr>        Software and Firmware - Determine the type of software or firmware that is used </vt:lpstr>
      <vt:lpstr>        Hardware verification</vt:lpstr>
      <vt:lpstr>        Software backup verification</vt:lpstr>
      <vt:lpstr>        Input/output verification</vt:lpstr>
      <vt:lpstr>        Verification of alarms, interlocks, and safety functions</vt:lpstr>
      <vt:lpstr>        Utility loss and recovery verification</vt:lpstr>
      <vt:lpstr>        Access security verification</vt:lpstr>
      <vt:lpstr>        Verification of screen/menu navigation</vt:lpstr>
      <vt:lpstr>        Verification of operator functional interface</vt:lpstr>
      <vt:lpstr>        Verification of operations sequence</vt:lpstr>
      <vt:lpstr>        Environmental Conditions and Accessibility</vt:lpstr>
      <vt:lpstr>Operational Qualification (OQ)</vt:lpstr>
      <vt:lpstr>    Equipment Suitability</vt:lpstr>
      <vt:lpstr>    Number of required OQ runs</vt:lpstr>
      <vt:lpstr>    Number of manufactured samples</vt:lpstr>
      <vt:lpstr>    Process Characterization</vt:lpstr>
      <vt:lpstr>        Identify process outputs to be studied. At a minimum, all critical quality attri</vt:lpstr>
      <vt:lpstr>        Identify potential process inputs. All process inputs should be identified. A pr</vt:lpstr>
      <vt:lpstr>        Identify significant process inputs. Screening studies can be performed to ident</vt:lpstr>
      <vt:lpstr>        Characterize and optimize. When the critical process parameters are known, the g</vt:lpstr>
      <vt:lpstr>        Verify transfer function and estimate process capability. A confirmation run sho</vt:lpstr>
      <vt:lpstr>        Set action levels. Action levels can be established by process engineers based o</vt:lpstr>
      <vt:lpstr>    OQ Prerequisites</vt:lpstr>
      <vt:lpstr>        Unless there is sufficient historic data available the process must be character</vt:lpstr>
      <vt:lpstr>        Equipment, tools, and fixtures used for building OQ samples must be production e</vt:lpstr>
      <vt:lpstr>        The materials used for the build (raw material, parts, sub-assemblies) must be q</vt:lpstr>
      <vt:lpstr>        TMV reports must be approved for the tests, inspections, and measurements execut</vt:lpstr>
      <vt:lpstr>        Software validation must be completed for all custom software.</vt:lpstr>
      <vt:lpstr>        The initial risk assessment portion of the Process FMEA is complete and approved</vt:lpstr>
      <vt:lpstr>        The process operators, technicians, inspectors, and engineers participating in t</vt:lpstr>
      <vt:lpstr>        The process operators are qualified to perform the actual manufacturing process.</vt:lpstr>
      <vt:lpstr>        As applicable, process operators and inspectors must be certified to internation</vt:lpstr>
      <vt:lpstr>        The process validation plan is approved as applicable (if PVP is required per ve</vt:lpstr>
      <vt:lpstr>        The initial Device Manufacturing Record (DMR) is controlled.</vt:lpstr>
      <vt:lpstr>        The OQ protocol is approved.</vt:lpstr>
      <vt:lpstr>    Worst-Case Definition</vt:lpstr>
    </vt:vector>
  </TitlesOfParts>
  <Company/>
  <LinksUpToDate>false</LinksUpToDate>
  <CharactersWithSpaces>146563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Process Validation and Sampling guideline</dc:title>
  <dc:creator>Thomas Oesterle</dc:creator>
  <cp:lastModifiedBy>Beddoes, Joe</cp:lastModifiedBy>
  <cp:revision>2</cp:revision>
  <dcterms:created xsi:type="dcterms:W3CDTF">2025-03-11T14:35:00Z</dcterms:created>
  <dcterms:modified xsi:type="dcterms:W3CDTF">2025-03-11T14:35:00Z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date">
    <vt:lpwstr>28-Mar-2025</vt:lpwstr>
  </property>
  <property fmtid="{D5CDD505-2E9C-101B-9397-08002B2CF9AE}" pid="3" name="Approval year">
    <vt:lpwstr>2025</vt:lpwstr>
  </property>
  <property fmtid="{D5CDD505-2E9C-101B-9397-08002B2CF9AE}" pid="4" name="ContentTypeId">
    <vt:lpwstr>0x010100ECF76BF93ECB034C83A19D2EAA01C0FF</vt:lpwstr>
  </property>
  <property fmtid="{D5CDD505-2E9C-101B-9397-08002B2CF9AE}" pid="5" name="Document Id">
    <vt:lpwstr>00005313</vt:lpwstr>
  </property>
  <property fmtid="{D5CDD505-2E9C-101B-9397-08002B2CF9AE}" pid="6" name="Document name">
    <vt:lpwstr>External Process Validation and Sampling guideline</vt:lpwstr>
  </property>
  <property fmtid="{D5CDD505-2E9C-101B-9397-08002B2CF9AE}" pid="7" name="Master temlate version">
    <vt:i4>3</vt:i4>
  </property>
  <property fmtid="{D5CDD505-2E9C-101B-9397-08002B2CF9AE}" pid="8" name="Master template Id">
    <vt:lpwstr>PE_006407</vt:lpwstr>
  </property>
  <property fmtid="{D5CDD505-2E9C-101B-9397-08002B2CF9AE}" pid="9" name="MediaServiceImageTags">
    <vt:lpwstr/>
  </property>
  <property fmtid="{D5CDD505-2E9C-101B-9397-08002B2CF9AE}" pid="10" name="Status">
    <vt:lpwstr>Approved</vt:lpwstr>
  </property>
  <property fmtid="{D5CDD505-2E9C-101B-9397-08002B2CF9AE}" pid="11" name="Template Id">
    <vt:lpwstr>PE_006407</vt:lpwstr>
  </property>
  <property fmtid="{D5CDD505-2E9C-101B-9397-08002B2CF9AE}" pid="12" name="Template version">
    <vt:lpwstr>3</vt:lpwstr>
  </property>
  <property fmtid="{D5CDD505-2E9C-101B-9397-08002B2CF9AE}" pid="13" name="Version">
    <vt:lpwstr>2</vt:lpwstr>
  </property>
</Properties>
</file>